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076909EF" w:rsidR="00E84692" w:rsidRDefault="0043216B" w:rsidP="00FA4411">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AD58BD">
        <w:rPr>
          <w:rFonts w:cs="Arial"/>
          <w:b/>
          <w:bCs/>
          <w:kern w:val="0"/>
          <w:sz w:val="24"/>
        </w:rPr>
        <w:t>7</w:t>
      </w:r>
      <w:r w:rsidR="000E742E">
        <w:rPr>
          <w:rFonts w:cs="Arial"/>
          <w:b/>
          <w:bCs/>
          <w:kern w:val="0"/>
          <w:sz w:val="24"/>
        </w:rPr>
        <w:t xml:space="preserve">e  </w:t>
      </w:r>
      <w:r w:rsidR="00AD58BD">
        <w:rPr>
          <w:rFonts w:cs="Arial"/>
          <w:b/>
          <w:bCs/>
          <w:kern w:val="0"/>
          <w:sz w:val="24"/>
        </w:rPr>
        <w:t xml:space="preserve">  </w:t>
      </w:r>
      <w:r w:rsidR="000E742E">
        <w:rPr>
          <w:rFonts w:cs="Arial"/>
          <w:b/>
          <w:bCs/>
          <w:kern w:val="0"/>
          <w:sz w:val="24"/>
        </w:rPr>
        <w:t xml:space="preserve">           </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E203C4">
        <w:rPr>
          <w:rFonts w:cs="Arial"/>
          <w:b/>
          <w:bCs/>
          <w:kern w:val="0"/>
          <w:sz w:val="24"/>
        </w:rPr>
        <w:t>R2-2</w:t>
      </w:r>
      <w:r w:rsidR="00583964">
        <w:rPr>
          <w:rFonts w:cs="Arial"/>
          <w:b/>
          <w:bCs/>
          <w:kern w:val="0"/>
          <w:sz w:val="24"/>
        </w:rPr>
        <w:t>20</w:t>
      </w:r>
      <w:r w:rsidR="00667D09">
        <w:rPr>
          <w:rFonts w:cs="Arial"/>
          <w:b/>
          <w:bCs/>
          <w:kern w:val="0"/>
          <w:sz w:val="24"/>
        </w:rPr>
        <w:t>2653</w:t>
      </w:r>
      <w:r>
        <w:rPr>
          <w:rFonts w:cs="Arial" w:hint="eastAsia"/>
          <w:b/>
          <w:bCs/>
          <w:kern w:val="0"/>
          <w:sz w:val="24"/>
        </w:rPr>
        <w:t xml:space="preserve"> </w:t>
      </w:r>
    </w:p>
    <w:p w14:paraId="13013E51" w14:textId="7BB84242"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AD58BD">
        <w:rPr>
          <w:rFonts w:cs="Arial"/>
          <w:b/>
          <w:bCs/>
          <w:kern w:val="0"/>
          <w:sz w:val="24"/>
          <w:lang w:val="en-GB"/>
        </w:rPr>
        <w:t>21</w:t>
      </w:r>
      <w:r w:rsidR="00BB68C7">
        <w:rPr>
          <w:rFonts w:cs="Arial"/>
          <w:b/>
          <w:bCs/>
          <w:kern w:val="0"/>
          <w:sz w:val="24"/>
          <w:lang w:val="en-GB"/>
        </w:rPr>
        <w:t xml:space="preserve"> </w:t>
      </w:r>
      <w:r w:rsidR="00AD58BD">
        <w:rPr>
          <w:rFonts w:cs="Arial"/>
          <w:b/>
          <w:bCs/>
          <w:kern w:val="0"/>
          <w:sz w:val="24"/>
          <w:lang w:val="en-GB"/>
        </w:rPr>
        <w:t xml:space="preserve">February </w:t>
      </w:r>
      <w:r>
        <w:rPr>
          <w:rFonts w:cs="Arial"/>
          <w:b/>
          <w:bCs/>
          <w:kern w:val="0"/>
          <w:sz w:val="24"/>
          <w:lang w:val="en-GB"/>
        </w:rPr>
        <w:t xml:space="preserve">– </w:t>
      </w:r>
      <w:r w:rsidR="00AD58BD">
        <w:rPr>
          <w:rFonts w:cs="Arial"/>
          <w:b/>
          <w:bCs/>
          <w:kern w:val="0"/>
          <w:sz w:val="24"/>
        </w:rPr>
        <w:t>03</w:t>
      </w:r>
      <w:r>
        <w:rPr>
          <w:rFonts w:cs="Arial"/>
          <w:b/>
          <w:bCs/>
          <w:kern w:val="0"/>
          <w:sz w:val="24"/>
          <w:lang w:val="en-GB"/>
        </w:rPr>
        <w:t xml:space="preserve"> </w:t>
      </w:r>
      <w:r w:rsidR="00AD58BD">
        <w:rPr>
          <w:rFonts w:cs="Arial"/>
          <w:b/>
          <w:bCs/>
          <w:kern w:val="0"/>
          <w:sz w:val="24"/>
        </w:rPr>
        <w:t>March</w:t>
      </w:r>
      <w:bookmarkStart w:id="0" w:name="_GoBack"/>
      <w:bookmarkEnd w:id="0"/>
      <w:r>
        <w:rPr>
          <w:rFonts w:cs="Arial" w:hint="eastAsia"/>
          <w:b/>
          <w:bCs/>
          <w:kern w:val="0"/>
          <w:sz w:val="24"/>
          <w:lang w:val="en-GB"/>
        </w:rPr>
        <w:t xml:space="preserve"> 20</w:t>
      </w:r>
      <w:r w:rsidR="00BF2E96">
        <w:rPr>
          <w:rFonts w:cs="Arial"/>
          <w:b/>
          <w:bCs/>
          <w:kern w:val="0"/>
          <w:sz w:val="24"/>
          <w:lang w:val="en-GB"/>
        </w:rPr>
        <w:t>22</w:t>
      </w:r>
      <w:r>
        <w:rPr>
          <w:rFonts w:cs="Arial"/>
          <w:b/>
          <w:bCs/>
          <w:kern w:val="0"/>
          <w:sz w:val="24"/>
          <w:lang w:val="en-GB"/>
        </w:rPr>
        <w:t xml:space="preserve"> </w:t>
      </w:r>
      <w:r w:rsidR="00FA4411">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84C114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ZTE Corporation, Sanechips</w:t>
      </w:r>
    </w:p>
    <w:p w14:paraId="61403576" w14:textId="48F41BE5"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667D09" w:rsidRPr="00667D09">
        <w:rPr>
          <w:rFonts w:cs="Arial"/>
          <w:b/>
          <w:bCs/>
          <w:snapToGrid w:val="0"/>
          <w:kern w:val="0"/>
          <w:sz w:val="24"/>
        </w:rPr>
        <w:t>Remaining issues on separate initial BWP and NCD-SSB for RedCap UEs</w:t>
      </w:r>
    </w:p>
    <w:p w14:paraId="774FE3B4" w14:textId="1F0883A4"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F54ED3">
        <w:rPr>
          <w:rFonts w:cs="Arial"/>
          <w:b/>
          <w:bCs/>
          <w:snapToGrid w:val="0"/>
          <w:kern w:val="0"/>
          <w:sz w:val="24"/>
        </w:rPr>
        <w:t>8.12.</w:t>
      </w:r>
      <w:r w:rsidR="00667D09">
        <w:rPr>
          <w:rFonts w:cs="Arial"/>
          <w:b/>
          <w:bCs/>
          <w:snapToGrid w:val="0"/>
          <w:kern w:val="0"/>
          <w:sz w:val="24"/>
        </w:rPr>
        <w:t>4</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5280CA02" w14:textId="70C66ED0" w:rsidR="009663D9" w:rsidRDefault="009663D9" w:rsidP="004C4B03">
      <w:pPr>
        <w:spacing w:before="120"/>
      </w:pPr>
      <w:r>
        <w:rPr>
          <w:rFonts w:hint="eastAsia"/>
        </w:rPr>
        <w:t>I</w:t>
      </w:r>
      <w:r>
        <w:t>n RAN2#116bis-e, companies discussed the potential RAN2 impact of supporting s</w:t>
      </w:r>
      <w:r w:rsidR="00DB442C">
        <w:t>eparate initial BWP and NCD-SSB</w:t>
      </w:r>
      <w:r>
        <w:t xml:space="preserve"> and </w:t>
      </w:r>
      <w:r w:rsidR="00DB442C">
        <w:t>made the</w:t>
      </w:r>
      <w:r>
        <w:t xml:space="preserve"> following </w:t>
      </w:r>
      <w:r w:rsidR="00DB442C">
        <w:t>agreements</w:t>
      </w:r>
      <w:r>
        <w:t>:</w:t>
      </w:r>
    </w:p>
    <w:tbl>
      <w:tblPr>
        <w:tblStyle w:val="af5"/>
        <w:tblW w:w="0" w:type="auto"/>
        <w:tblLook w:val="04A0" w:firstRow="1" w:lastRow="0" w:firstColumn="1" w:lastColumn="0" w:noHBand="0" w:noVBand="1"/>
      </w:tblPr>
      <w:tblGrid>
        <w:gridCol w:w="9995"/>
      </w:tblGrid>
      <w:tr w:rsidR="004F4F79" w14:paraId="08B1B46C" w14:textId="77777777" w:rsidTr="004F4F79">
        <w:tc>
          <w:tcPr>
            <w:tcW w:w="9995" w:type="dxa"/>
          </w:tcPr>
          <w:p w14:paraId="4A164A9F" w14:textId="77777777" w:rsidR="004F4F79" w:rsidRDefault="004F4F79" w:rsidP="004F4F79">
            <w:pPr>
              <w:spacing w:before="120"/>
            </w:pPr>
            <w:r w:rsidRPr="004F4F79">
              <w:t>Agreements:</w:t>
            </w:r>
          </w:p>
          <w:p w14:paraId="0D1FDE2C" w14:textId="5D843640" w:rsidR="004F4F79" w:rsidRPr="004F4F79" w:rsidRDefault="004F4F79" w:rsidP="004F4F79">
            <w:pPr>
              <w:spacing w:after="0"/>
              <w:rPr>
                <w:i/>
                <w:u w:val="single"/>
              </w:rPr>
            </w:pPr>
            <w:r w:rsidRPr="004F4F79">
              <w:rPr>
                <w:i/>
                <w:u w:val="single"/>
              </w:rPr>
              <w:t>For idle/inactive UEs:</w:t>
            </w:r>
          </w:p>
          <w:p w14:paraId="54399A04" w14:textId="77777777" w:rsidR="004F4F79" w:rsidRDefault="004F4F79" w:rsidP="004F4F79">
            <w:pPr>
              <w:snapToGrid w:val="0"/>
              <w:spacing w:after="0"/>
              <w:ind w:left="284" w:hangingChars="142" w:hanging="284"/>
            </w:pPr>
            <w:r>
              <w:t>1.</w:t>
            </w:r>
            <w:r>
              <w:tab/>
              <w:t>A RedCap UE in idle/inactive mode monitors paging only in an initial BWP (default or RedCap specific) associated with CD-SSB and performs cell (re-)selection and measurements on the CD-SSB</w:t>
            </w:r>
          </w:p>
          <w:p w14:paraId="40D666A4" w14:textId="77777777" w:rsidR="004F4F79" w:rsidRDefault="004F4F79" w:rsidP="004F4F79">
            <w:pPr>
              <w:snapToGrid w:val="0"/>
              <w:spacing w:after="0"/>
              <w:ind w:left="284" w:hangingChars="142" w:hanging="284"/>
            </w:pPr>
            <w:r>
              <w:t>2.</w:t>
            </w:r>
            <w:r>
              <w:tab/>
              <w:t>If a RedCap-specific initial UL BWP is configured for RACH, RedCap UEs shall use only the RedCap-specific initial UL BWP to perform RACH.</w:t>
            </w:r>
          </w:p>
          <w:p w14:paraId="7C2C7D96" w14:textId="77777777" w:rsidR="004F4F79" w:rsidRDefault="004F4F79" w:rsidP="004F4F79">
            <w:pPr>
              <w:snapToGrid w:val="0"/>
              <w:spacing w:after="0"/>
              <w:ind w:left="284" w:hangingChars="142" w:hanging="284"/>
            </w:pPr>
            <w:r>
              <w:t>3.</w:t>
            </w:r>
            <w:r>
              <w:tab/>
              <w:t>If a RedCap UE in idle/inactive mode is configured with a separate initial BWP associated with no SSB (CD or NCD) for RACH, measurements are based on CD-SSB for initial RACH resource selection.</w:t>
            </w:r>
          </w:p>
          <w:p w14:paraId="51DAE5CB" w14:textId="77777777" w:rsidR="004F4F79" w:rsidRDefault="004F4F79" w:rsidP="004F4F79">
            <w:pPr>
              <w:snapToGrid w:val="0"/>
              <w:spacing w:after="0"/>
              <w:ind w:left="284" w:hangingChars="142" w:hanging="284"/>
            </w:pPr>
            <w:r>
              <w:t>4.</w:t>
            </w:r>
            <w:r>
              <w:tab/>
              <w:t>If a RedCap UE in idle/inactive mode is configured with a separate initial BWP associated with no SSB (CD or NCD) for RACH, PDCCH-ConfigCommon of the separate initial DL BWP includes common search space configuration for RAR.</w:t>
            </w:r>
          </w:p>
          <w:p w14:paraId="55AE71CA" w14:textId="77777777" w:rsidR="004F4F79" w:rsidRDefault="004F4F79" w:rsidP="004F4F79">
            <w:pPr>
              <w:snapToGrid w:val="0"/>
              <w:spacing w:after="0"/>
              <w:ind w:left="284" w:hangingChars="142" w:hanging="284"/>
            </w:pPr>
            <w:r>
              <w:t>5.</w:t>
            </w:r>
            <w:r>
              <w:tab/>
              <w:t xml:space="preserve">From RAN2 perspective, if a RedCap UE in idle/inactive mode is configured with a separate initial BWP associated with no SSB (CD or NCD) for RACH, it is up to UE implementation to perform new RSRP measurement in a DL BWP associated with CD-SSB before Msg1/A retransmission. </w:t>
            </w:r>
          </w:p>
          <w:p w14:paraId="20503271" w14:textId="77777777" w:rsidR="004F4F79" w:rsidRDefault="004F4F79" w:rsidP="004F4F79">
            <w:pPr>
              <w:snapToGrid w:val="0"/>
              <w:spacing w:after="0"/>
              <w:ind w:left="284" w:hangingChars="142" w:hanging="284"/>
            </w:pPr>
            <w:r>
              <w:t>6.</w:t>
            </w:r>
            <w:r>
              <w:tab/>
              <w:t>RedCap-specific two-step RACH, if configured, and four-step RACH are always configured in the same BWP.</w:t>
            </w:r>
          </w:p>
          <w:p w14:paraId="3191FBCA" w14:textId="4875345F" w:rsidR="004F4F79" w:rsidRDefault="004F4F79" w:rsidP="004F4F79">
            <w:pPr>
              <w:snapToGrid w:val="0"/>
              <w:spacing w:beforeLines="50" w:before="156" w:after="0"/>
              <w:ind w:left="284" w:hangingChars="142" w:hanging="284"/>
            </w:pPr>
            <w:r w:rsidRPr="004F4F79">
              <w:rPr>
                <w:i/>
                <w:u w:val="single"/>
              </w:rPr>
              <w:t>For idle/inactive UEs:</w:t>
            </w:r>
          </w:p>
          <w:p w14:paraId="3FABEDA5" w14:textId="77777777" w:rsidR="004F4F79" w:rsidRDefault="004F4F79" w:rsidP="004F4F79">
            <w:pPr>
              <w:snapToGrid w:val="0"/>
              <w:spacing w:after="0"/>
              <w:ind w:left="284" w:hangingChars="142" w:hanging="284"/>
            </w:pPr>
            <w:r>
              <w:t>7.</w:t>
            </w:r>
            <w:r>
              <w:tab/>
              <w:t>In RRC connected mode NCD-SSB may be configured for a RedCap UE in dedicated DL BWP.</w:t>
            </w:r>
          </w:p>
          <w:p w14:paraId="41C8AF8E" w14:textId="77777777" w:rsidR="004F4F79" w:rsidRDefault="004F4F79" w:rsidP="004F4F79">
            <w:pPr>
              <w:snapToGrid w:val="0"/>
              <w:spacing w:after="0"/>
              <w:ind w:left="284" w:hangingChars="142" w:hanging="284"/>
            </w:pPr>
            <w:r>
              <w:t>8.</w:t>
            </w:r>
            <w:r>
              <w:tab/>
              <w:t>For connected mode operation NCD-SSB has the same properties (e.g., ssb-PositionsInBurst, PCI, ssb-periodicity, ssb-PBCH-BlockPower) as the corresponding CD-SSB. FFS if an additional property needs to be specified.</w:t>
            </w:r>
          </w:p>
          <w:p w14:paraId="4B03A18B" w14:textId="77777777" w:rsidR="004F4F79" w:rsidRDefault="004F4F79" w:rsidP="004F4F79">
            <w:pPr>
              <w:snapToGrid w:val="0"/>
              <w:spacing w:after="0"/>
              <w:ind w:left="284" w:hangingChars="142" w:hanging="284"/>
            </w:pPr>
            <w:r>
              <w:t>9.</w:t>
            </w:r>
            <w:r>
              <w:tab/>
              <w:t>For connected mode operation if NCD-SSB is configured in a dedicated DL BWP, RedCap UE assumes that “SSB” in QCL-Info IE and “ssb-Index” in RadioLinkMonitoringRS IE refer to the beam with the same index in the NCD-SSB configured in that BWP.</w:t>
            </w:r>
          </w:p>
          <w:p w14:paraId="468C1FED" w14:textId="65592BDC" w:rsidR="004F4F79" w:rsidRDefault="004F4F79" w:rsidP="004F4F79">
            <w:pPr>
              <w:snapToGrid w:val="0"/>
              <w:spacing w:after="0"/>
              <w:ind w:left="284" w:hangingChars="142" w:hanging="284"/>
            </w:pPr>
            <w:r>
              <w:t>10.</w:t>
            </w:r>
            <w:r>
              <w:tab/>
              <w:t>For connected mode operation if NCD-SSB is configured in a dedicated DL BWP whose paired UL BWP is configured with RACH-ConfigDedicated, RACH-ConfigCommon or BeamFailureRecovery Config, SSB in that RACH configuration (e.g., in CFRA-SSB-Resource IE or in PRACH-ResourceDedicatedBFR IE) refers to the NCD-SSB configured in that DL BWP.</w:t>
            </w:r>
          </w:p>
        </w:tc>
      </w:tr>
    </w:tbl>
    <w:p w14:paraId="34E1E7AE" w14:textId="1B67272D" w:rsidR="00041A58" w:rsidRDefault="0053586D" w:rsidP="0053586D">
      <w:pPr>
        <w:spacing w:before="120"/>
      </w:pPr>
      <w:r>
        <w:t xml:space="preserve">Since NCD-SSB and separate initial BWP operation are newly introduced, besides above conclusions, there are many open issues need further discussion. </w:t>
      </w:r>
      <w:r w:rsidR="00F90266">
        <w:t>Since m</w:t>
      </w:r>
      <w:r w:rsidR="00DB442C">
        <w:t xml:space="preserve">ost open issues are discussed </w:t>
      </w:r>
      <w:r w:rsidR="00F90266">
        <w:t>under</w:t>
      </w:r>
      <w:r w:rsidR="00DB442C">
        <w:t xml:space="preserve"> pre-meeting</w:t>
      </w:r>
      <w:r w:rsidR="00F90266">
        <w:t xml:space="preserve"> email</w:t>
      </w:r>
      <w:r w:rsidR="00DB442C">
        <w:t xml:space="preserve"> discussion</w:t>
      </w:r>
      <w:r w:rsidR="00F90266">
        <w:t>, in this contribution, we mainly discuss the other remaining issues and corresponding</w:t>
      </w:r>
      <w:r>
        <w:t xml:space="preserve"> RAN2 impacts. </w:t>
      </w:r>
    </w:p>
    <w:p w14:paraId="361EEEAF" w14:textId="49EABFCF" w:rsidR="00746674" w:rsidRDefault="00F90266" w:rsidP="00975146">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 xml:space="preserve">Separate initial </w:t>
      </w:r>
      <w:r w:rsidR="00175A6A">
        <w:rPr>
          <w:rFonts w:cs="Arial"/>
          <w:b w:val="0"/>
          <w:bCs w:val="0"/>
          <w:kern w:val="0"/>
          <w:sz w:val="32"/>
          <w:szCs w:val="36"/>
        </w:rPr>
        <w:t>BWP</w:t>
      </w:r>
    </w:p>
    <w:p w14:paraId="52BC6B06" w14:textId="7A2DE98C" w:rsidR="00F90266" w:rsidRPr="00864E90" w:rsidRDefault="00F90266" w:rsidP="00746674">
      <w:pPr>
        <w:rPr>
          <w:i/>
          <w:u w:val="single"/>
        </w:rPr>
      </w:pPr>
      <w:r w:rsidRPr="00C631BF">
        <w:rPr>
          <w:i/>
          <w:highlight w:val="cyan"/>
          <w:u w:val="single"/>
        </w:rPr>
        <w:t xml:space="preserve">Issue 1: how to configure the </w:t>
      </w:r>
      <w:r w:rsidR="006E1FEC" w:rsidRPr="00C631BF">
        <w:rPr>
          <w:i/>
          <w:highlight w:val="cyan"/>
          <w:u w:val="single"/>
        </w:rPr>
        <w:t>RedCap-specific</w:t>
      </w:r>
      <w:r w:rsidRPr="00C631BF">
        <w:rPr>
          <w:i/>
          <w:highlight w:val="cyan"/>
          <w:u w:val="single"/>
        </w:rPr>
        <w:t xml:space="preserve"> initial BWP for RedCap UEs.</w:t>
      </w:r>
    </w:p>
    <w:p w14:paraId="072F0E44" w14:textId="0BF5E38D" w:rsidR="00F90266" w:rsidRDefault="00F90266" w:rsidP="00746674">
      <w:r>
        <w:t xml:space="preserve">Currently, the signaling of </w:t>
      </w:r>
      <w:r w:rsidR="006E1FEC">
        <w:t>RedCap-specific</w:t>
      </w:r>
      <w:r>
        <w:t xml:space="preserve"> initial BWP is not captured in the running TS 38.331 CR. Based on TS 38.331, for legacy initial BWP, the common part of legacy initial BWP can be provided via SIB1 (in </w:t>
      </w:r>
      <w:r w:rsidRPr="008336C2">
        <w:rPr>
          <w:i/>
        </w:rPr>
        <w:t>ServingCellConfigCommonSIB</w:t>
      </w:r>
      <w:r>
        <w:t xml:space="preserve">) or RRC dedicated signaling (in </w:t>
      </w:r>
      <w:r w:rsidRPr="008336C2">
        <w:rPr>
          <w:i/>
        </w:rPr>
        <w:t>ServingCellConfigCommon</w:t>
      </w:r>
      <w:r>
        <w:t xml:space="preserve">), and the dedicated part of legacy initial BWP are configured only via RRC dedicated signaling (in </w:t>
      </w:r>
      <w:r w:rsidRPr="008336C2">
        <w:rPr>
          <w:i/>
        </w:rPr>
        <w:t>ServingCellConfig</w:t>
      </w:r>
      <w:r>
        <w:t xml:space="preserve">). </w:t>
      </w:r>
    </w:p>
    <w:p w14:paraId="0F291A3F" w14:textId="45C0C180" w:rsidR="00F90266" w:rsidRDefault="00F90266" w:rsidP="00746674">
      <w:r>
        <w:t>For RedCap</w:t>
      </w:r>
      <w:r w:rsidR="006E1FEC">
        <w:t>-</w:t>
      </w:r>
      <w:r>
        <w:t xml:space="preserve">specific initial BWP, </w:t>
      </w:r>
      <w:r w:rsidR="00BC1714">
        <w:t xml:space="preserve">we think </w:t>
      </w:r>
      <w:r>
        <w:t xml:space="preserve">the same signaling structure can be applied. </w:t>
      </w:r>
    </w:p>
    <w:p w14:paraId="548EEAF2" w14:textId="5568527E" w:rsidR="00BC1714" w:rsidRPr="00C70B91" w:rsidRDefault="006E1FEC" w:rsidP="006440DD">
      <w:pPr>
        <w:ind w:left="1273" w:hangingChars="634" w:hanging="1273"/>
        <w:rPr>
          <w:b/>
        </w:rPr>
      </w:pPr>
      <w:r>
        <w:rPr>
          <w:b/>
        </w:rPr>
        <w:t>Observation</w:t>
      </w:r>
      <w:r w:rsidR="006440DD">
        <w:rPr>
          <w:b/>
        </w:rPr>
        <w:t xml:space="preserve"> </w:t>
      </w:r>
      <w:r w:rsidR="00BC1714" w:rsidRPr="00C70B91">
        <w:rPr>
          <w:b/>
        </w:rPr>
        <w:t xml:space="preserve">1: </w:t>
      </w:r>
      <w:r w:rsidR="006440DD">
        <w:rPr>
          <w:b/>
        </w:rPr>
        <w:t xml:space="preserve"> </w:t>
      </w:r>
      <w:r w:rsidR="00BC1714">
        <w:rPr>
          <w:b/>
        </w:rPr>
        <w:t xml:space="preserve">Same as legacy initial BWP, the common part </w:t>
      </w:r>
      <w:r>
        <w:rPr>
          <w:b/>
        </w:rPr>
        <w:t>of RedCap-</w:t>
      </w:r>
      <w:r w:rsidR="00BC1714">
        <w:rPr>
          <w:b/>
        </w:rPr>
        <w:t>specific initial DL&amp;UL BWP can be configured via SIB1 and RRC dedicated signaling, and the dedicated part is configured only via RRC dedicated signaling</w:t>
      </w:r>
      <w:r w:rsidR="00BC1714" w:rsidRPr="00C70B91">
        <w:rPr>
          <w:b/>
        </w:rPr>
        <w:t xml:space="preserve">. </w:t>
      </w:r>
    </w:p>
    <w:p w14:paraId="1FA53EFA" w14:textId="5A928208" w:rsidR="006E1FEC" w:rsidRDefault="006440DD" w:rsidP="00746674">
      <w:r>
        <w:t xml:space="preserve">During offline discussion in RAN2#116bis-e meeting, </w:t>
      </w:r>
      <w:r w:rsidR="006E1FEC">
        <w:t xml:space="preserve">regarding how to signal the RedCap-specific initial BWP configuration, </w:t>
      </w:r>
      <w:r>
        <w:t xml:space="preserve">some company proposed to support delta configuration </w:t>
      </w:r>
      <w:r w:rsidR="006E1FEC">
        <w:t>in order to save SIB1 size</w:t>
      </w:r>
      <w:r>
        <w:t xml:space="preserve">, which means </w:t>
      </w:r>
      <w:r w:rsidR="006E1FEC">
        <w:t xml:space="preserve">if a field in RedCap-specific initial BWP is absent, </w:t>
      </w:r>
      <w:r w:rsidR="00DA4A94">
        <w:t xml:space="preserve">the </w:t>
      </w:r>
      <w:r w:rsidR="006E1FEC">
        <w:t xml:space="preserve">UE should follow the field signaled in legacy initial BWP. </w:t>
      </w:r>
    </w:p>
    <w:p w14:paraId="5AEC3F12" w14:textId="0A3E4FEE" w:rsidR="006E1FEC" w:rsidRDefault="006E1FEC" w:rsidP="006E1FEC">
      <w:r>
        <w:t>We tend to agree with the motivation, but we think it is very hard to support delta configuration, because currently, all parameters in system information are considered as “Need R” by default. To support “delta”, we need to identify that the absent of which parameters means “release”, and the absence of which parameters means “using the one from legacy”, this requires much more effort. In addition, most physical channel or RS configurations are configured according to the boundary of BWP in frequency domain, and the configuration will be different due to the</w:t>
      </w:r>
      <w:r w:rsidR="008A2DC4">
        <w:t xml:space="preserve"> different</w:t>
      </w:r>
      <w:r>
        <w:t xml:space="preserve"> </w:t>
      </w:r>
      <w:r w:rsidRPr="008A2DC4">
        <w:rPr>
          <w:i/>
        </w:rPr>
        <w:t>LocationAndBandwidth</w:t>
      </w:r>
      <w:r>
        <w:t xml:space="preserve"> configuration of RedCap-specific BWP.</w:t>
      </w:r>
      <w:r w:rsidR="008A2DC4">
        <w:t xml:space="preserve"> </w:t>
      </w:r>
    </w:p>
    <w:p w14:paraId="138D1AFB" w14:textId="0927FD53" w:rsidR="008A2DC4" w:rsidRDefault="008A2DC4" w:rsidP="006E1FEC">
      <w:r>
        <w:t>So for simplicity, we suggest to only consider full configuration approach.</w:t>
      </w:r>
    </w:p>
    <w:p w14:paraId="3B166A79" w14:textId="5239DD2E" w:rsidR="008336C2" w:rsidRPr="008A2DC4" w:rsidRDefault="008A2DC4" w:rsidP="008A2DC4">
      <w:pPr>
        <w:tabs>
          <w:tab w:val="left" w:pos="1276"/>
        </w:tabs>
        <w:ind w:left="1273" w:hangingChars="634" w:hanging="1273"/>
        <w:rPr>
          <w:b/>
        </w:rPr>
      </w:pPr>
      <w:r w:rsidRPr="00E051A0">
        <w:rPr>
          <w:b/>
        </w:rPr>
        <w:t xml:space="preserve">Proposal 1: </w:t>
      </w:r>
      <w:r w:rsidRPr="00E051A0">
        <w:rPr>
          <w:b/>
        </w:rPr>
        <w:tab/>
      </w:r>
      <w:r>
        <w:rPr>
          <w:b/>
        </w:rPr>
        <w:t xml:space="preserve">For RedCap-specific BWP, both common and dedicate configuration are provided using full configuration. Delta configuration compared to legacy initial BWP is not supported. </w:t>
      </w:r>
    </w:p>
    <w:p w14:paraId="24D19BF8" w14:textId="0DF6BCEB" w:rsidR="006C0AAF" w:rsidRPr="00864E90" w:rsidRDefault="006C0AAF" w:rsidP="00EB1556">
      <w:pPr>
        <w:spacing w:beforeLines="100" w:before="312"/>
        <w:rPr>
          <w:i/>
          <w:u w:val="single"/>
        </w:rPr>
      </w:pPr>
      <w:r w:rsidRPr="00C631BF">
        <w:rPr>
          <w:i/>
          <w:highlight w:val="cyan"/>
          <w:u w:val="single"/>
        </w:rPr>
        <w:t>Issue 2: how to configure the pdcch-ConfigCommon in case RedCap-Specific initial BWP contains CD-SSB?</w:t>
      </w:r>
    </w:p>
    <w:p w14:paraId="0381D4EA" w14:textId="581E96EF" w:rsidR="006440DD" w:rsidRDefault="008A2DC4" w:rsidP="00746674">
      <w:r>
        <w:t>For the case that RedCap-specific initial BWP does not contain any SSB, RAN2 made agreement that pdcch-ConfigCommon only include the common search space configuration for RAR. But for the case that RedCap specific initial BWP contains CD-SSB, it is unclear how to provide pdcch-ConfigCommon configuration to UE? Since the UE still monitors paging/SIB1/OSI based on CD-SSB, it is unclear whether the UE should follow the configuration of legacy initial BWP or RedCap-specific initial BWP?</w:t>
      </w:r>
    </w:p>
    <w:p w14:paraId="09B97DCD" w14:textId="77777777" w:rsidR="008A2DC4" w:rsidRDefault="008A2DC4" w:rsidP="008A2DC4">
      <w:pPr>
        <w:jc w:val="center"/>
      </w:pPr>
      <w:r>
        <w:object w:dxaOrig="5849" w:dyaOrig="4080" w14:anchorId="187CE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04pt" o:ole="">
            <v:imagedata r:id="rId9" o:title=""/>
          </v:shape>
          <o:OLEObject Type="Embed" ProgID="Visio.Drawing.11" ShapeID="_x0000_i1025" DrawAspect="Content" ObjectID="_1706392350" r:id="rId10"/>
        </w:object>
      </w:r>
    </w:p>
    <w:p w14:paraId="2C1BE5A9" w14:textId="1CEB4BB2" w:rsidR="008A2DC4" w:rsidRDefault="008A2DC4" w:rsidP="008A2DC4">
      <w:pPr>
        <w:jc w:val="center"/>
      </w:pPr>
      <w:r>
        <w:t>Figure 1: RedCap-specific initial DL BWP contains CD-SSB</w:t>
      </w:r>
    </w:p>
    <w:p w14:paraId="0FFDBC88" w14:textId="77777777" w:rsidR="00DC548F" w:rsidRDefault="00DC548F" w:rsidP="00DC548F">
      <w:r>
        <w:t xml:space="preserve">We have discussed issue 2 in our previous contribution </w:t>
      </w:r>
      <w:r w:rsidRPr="00DC548F">
        <w:t>[2].</w:t>
      </w:r>
    </w:p>
    <w:p w14:paraId="62373E25" w14:textId="136D4A9E" w:rsidR="008A2DC4" w:rsidRDefault="008A2DC4" w:rsidP="008A2DC4">
      <w:r>
        <w:rPr>
          <w:rFonts w:hint="eastAsia"/>
        </w:rPr>
        <w:t>F</w:t>
      </w:r>
      <w:r>
        <w:t xml:space="preserve">or RAR reception, it makes sense to allow </w:t>
      </w:r>
      <w:r w:rsidR="00DA4A94">
        <w:t xml:space="preserve">the </w:t>
      </w:r>
      <w:r>
        <w:t>network to configure a separate “</w:t>
      </w:r>
      <w:r w:rsidRPr="00E9552F">
        <w:rPr>
          <w:i/>
        </w:rPr>
        <w:t>ra-SearchSpace</w:t>
      </w:r>
      <w:r>
        <w:t xml:space="preserve">” in the separate initial DL BWP because the RACH resource can be configured separately. </w:t>
      </w:r>
    </w:p>
    <w:p w14:paraId="7C57F8EA" w14:textId="0100DE42" w:rsidR="008A2DC4" w:rsidRDefault="008A2DC4" w:rsidP="008A2DC4">
      <w:r>
        <w:t xml:space="preserve">For paging monitoring, as indicated by RAN1, the separate initial DL BWP can be used for paging reception. So in our view, even though the separate initial DL BWP contains entire CORESET#0, </w:t>
      </w:r>
      <w:r w:rsidR="00DA4A94">
        <w:t xml:space="preserve">the </w:t>
      </w:r>
      <w:r>
        <w:t>network is allowed to configure a separate “</w:t>
      </w:r>
      <w:r w:rsidRPr="0007660A">
        <w:rPr>
          <w:i/>
        </w:rPr>
        <w:t>pagingSearchSpace</w:t>
      </w:r>
      <w:r>
        <w:t xml:space="preserve">” configuration of the separate initial DL BWP. In this case, RedCap UE will ignore the </w:t>
      </w:r>
      <w:r w:rsidRPr="0007660A">
        <w:rPr>
          <w:i/>
        </w:rPr>
        <w:t>pagingSearchSpace</w:t>
      </w:r>
      <w:r>
        <w:t xml:space="preserve"> configuration provided in legacy initial DL BWP.</w:t>
      </w:r>
    </w:p>
    <w:p w14:paraId="55F5234A" w14:textId="77777777" w:rsidR="008A2DC4" w:rsidRDefault="008A2DC4" w:rsidP="008A2DC4">
      <w:r>
        <w:t xml:space="preserve">For SIB1 and OSI, since separate initial DL BWP still contains CORESET#0, RedCap UEs are assumed to receive the same SIB1 and OSI message as non-RedCap UEs. Regarding how to set the CSS of SIB1/OSI in </w:t>
      </w:r>
      <w:r w:rsidRPr="0023503D">
        <w:rPr>
          <w:i/>
        </w:rPr>
        <w:t>PDCCH-ConfigCommon</w:t>
      </w:r>
      <w:r>
        <w:t xml:space="preserve"> of separate initial DL BWP, there are two options:</w:t>
      </w:r>
    </w:p>
    <w:p w14:paraId="3857B882" w14:textId="77777777" w:rsidR="008A2DC4" w:rsidRPr="0023503D" w:rsidRDefault="008A2DC4" w:rsidP="008A2DC4">
      <w:pPr>
        <w:pStyle w:val="afffffff3"/>
        <w:numPr>
          <w:ilvl w:val="0"/>
          <w:numId w:val="23"/>
        </w:numPr>
        <w:tabs>
          <w:tab w:val="left" w:pos="284"/>
        </w:tabs>
        <w:ind w:left="1134" w:hanging="1134"/>
      </w:pPr>
      <w:r>
        <w:t xml:space="preserve">Option 1: The </w:t>
      </w:r>
      <w:r w:rsidRPr="0023503D">
        <w:rPr>
          <w:i/>
        </w:rPr>
        <w:t>PDCCH-ConfigCommon</w:t>
      </w:r>
      <w:r>
        <w:t xml:space="preserve"> of separate initial DL BWP (always) includes </w:t>
      </w:r>
      <w:r w:rsidRPr="0023503D">
        <w:rPr>
          <w:i/>
        </w:rPr>
        <w:t>searchSpaceSIB1</w:t>
      </w:r>
      <w:r>
        <w:t xml:space="preserve"> and </w:t>
      </w:r>
      <w:r w:rsidRPr="0023503D">
        <w:rPr>
          <w:i/>
        </w:rPr>
        <w:t>searchSpaceOtherSystemInformation</w:t>
      </w:r>
      <w:r w:rsidRPr="0023503D">
        <w:t xml:space="preserve">, absence of </w:t>
      </w:r>
      <w:r>
        <w:t xml:space="preserve">corresponding </w:t>
      </w:r>
      <w:r w:rsidRPr="0023503D">
        <w:t>field means the UE does not monitor SIB1/OSI</w:t>
      </w:r>
      <w:r w:rsidRPr="0023503D">
        <w:rPr>
          <w:i/>
        </w:rPr>
        <w:t>;</w:t>
      </w:r>
    </w:p>
    <w:p w14:paraId="184E18EA" w14:textId="77777777" w:rsidR="008A2DC4" w:rsidRPr="0023503D" w:rsidRDefault="008A2DC4" w:rsidP="008A2DC4">
      <w:pPr>
        <w:pStyle w:val="afffffff3"/>
        <w:numPr>
          <w:ilvl w:val="0"/>
          <w:numId w:val="23"/>
        </w:numPr>
        <w:tabs>
          <w:tab w:val="left" w:pos="284"/>
        </w:tabs>
        <w:ind w:left="1134" w:hanging="1134"/>
      </w:pPr>
      <w:r w:rsidRPr="0023503D">
        <w:t>Option 2:</w:t>
      </w:r>
      <w:r>
        <w:t xml:space="preserve"> The </w:t>
      </w:r>
      <w:r w:rsidRPr="0023503D">
        <w:rPr>
          <w:i/>
        </w:rPr>
        <w:t>PDCCH-ConfigCommon</w:t>
      </w:r>
      <w:r>
        <w:t xml:space="preserve"> of separate initial DL BWP does not include </w:t>
      </w:r>
      <w:r w:rsidRPr="0023503D">
        <w:rPr>
          <w:i/>
        </w:rPr>
        <w:t>searchSpaceSIB1</w:t>
      </w:r>
      <w:r>
        <w:t xml:space="preserve"> and </w:t>
      </w:r>
      <w:r w:rsidRPr="0023503D">
        <w:rPr>
          <w:i/>
        </w:rPr>
        <w:t>searchSpaceOtherSystemInformation</w:t>
      </w:r>
      <w:r w:rsidRPr="0023503D">
        <w:t>,</w:t>
      </w:r>
      <w:r>
        <w:t xml:space="preserve"> the UE always follow the SIB1/OSI CSS configuration provided in </w:t>
      </w:r>
      <w:r w:rsidRPr="00BE0108">
        <w:rPr>
          <w:i/>
        </w:rPr>
        <w:t>PDCCH-ConfigCommon</w:t>
      </w:r>
      <w:r>
        <w:t xml:space="preserve"> of legacy initial DL BWP. </w:t>
      </w:r>
    </w:p>
    <w:p w14:paraId="071E79A4" w14:textId="19D59248" w:rsidR="008A2DC4" w:rsidRDefault="008A2DC4" w:rsidP="008A2DC4">
      <w:r>
        <w:t xml:space="preserve">The principle of Option 1 is aligned with current field descriptions, and Option 1 also implies that it is up to </w:t>
      </w:r>
      <w:r w:rsidR="00DA4A94">
        <w:t xml:space="preserve">the </w:t>
      </w:r>
      <w:r>
        <w:t xml:space="preserve">network to ensure the SIB1/OSI CSS configuration of separate initial DL BWP to be aligned with the configurations of legacy initial DL BWP. </w:t>
      </w:r>
      <w:r>
        <w:rPr>
          <w:rFonts w:hint="eastAsia"/>
        </w:rPr>
        <w:t>W</w:t>
      </w:r>
      <w:r>
        <w:t xml:space="preserve">hile for Option 2, the UE is required to read and follow the PDCCH configuration from two BWPs, and if Option 2 is adopted, the field descriptions of </w:t>
      </w:r>
      <w:r w:rsidRPr="008734D8">
        <w:rPr>
          <w:i/>
        </w:rPr>
        <w:t>searchSpaceSIB1</w:t>
      </w:r>
      <w:r>
        <w:t xml:space="preserve"> and </w:t>
      </w:r>
      <w:r w:rsidRPr="008734D8">
        <w:rPr>
          <w:i/>
        </w:rPr>
        <w:t>searchSpaceOtherSystemInformation</w:t>
      </w:r>
      <w:r>
        <w:t xml:space="preserve"> need to be updated accordingly. For simplicity, we suggest to adopt Option 1. </w:t>
      </w:r>
    </w:p>
    <w:p w14:paraId="372D37A2" w14:textId="77777777" w:rsidR="008A2DC4" w:rsidRPr="00C076E1" w:rsidRDefault="008A2DC4" w:rsidP="008A2DC4">
      <w:r>
        <w:t xml:space="preserve">In summary, it is recommended to confirm the support of scenario 1 in RAN2. </w:t>
      </w:r>
    </w:p>
    <w:p w14:paraId="5A496A7C" w14:textId="1D24E92A" w:rsidR="008A2DC4" w:rsidRPr="00C076E1" w:rsidRDefault="008A2DC4" w:rsidP="008A2DC4">
      <w:pPr>
        <w:tabs>
          <w:tab w:val="left" w:pos="1276"/>
        </w:tabs>
        <w:ind w:left="1273" w:hangingChars="634" w:hanging="1273"/>
        <w:rPr>
          <w:b/>
        </w:rPr>
      </w:pPr>
      <w:r w:rsidRPr="00E051A0">
        <w:rPr>
          <w:b/>
        </w:rPr>
        <w:t xml:space="preserve">Proposal </w:t>
      </w:r>
      <w:r w:rsidR="00864E90">
        <w:rPr>
          <w:b/>
        </w:rPr>
        <w:t>2</w:t>
      </w:r>
      <w:r w:rsidRPr="00E051A0">
        <w:rPr>
          <w:b/>
        </w:rPr>
        <w:t xml:space="preserve">: </w:t>
      </w:r>
      <w:r w:rsidRPr="00E051A0">
        <w:rPr>
          <w:b/>
        </w:rPr>
        <w:tab/>
      </w:r>
      <w:r w:rsidR="00864E90">
        <w:rPr>
          <w:b/>
        </w:rPr>
        <w:t>In case RedCap-specific initial DL BWP contains CD-SSB, the PDCCH-ConfigCommon should include</w:t>
      </w:r>
      <w:r>
        <w:rPr>
          <w:b/>
        </w:rPr>
        <w:t xml:space="preserve"> common search space configurations for paging, RAR, SIB1 and OSI. Absence of the field means the UE does not receive corresponding message (same as </w:t>
      </w:r>
      <w:r>
        <w:rPr>
          <w:b/>
        </w:rPr>
        <w:lastRenderedPageBreak/>
        <w:t xml:space="preserve">in legacy). For SIB1 and OSI, the search space configurations are aligned with the configurations </w:t>
      </w:r>
      <w:r w:rsidR="00864E90">
        <w:rPr>
          <w:b/>
        </w:rPr>
        <w:t xml:space="preserve">in </w:t>
      </w:r>
      <w:r>
        <w:rPr>
          <w:b/>
        </w:rPr>
        <w:t xml:space="preserve">legacy initial DL BWP. </w:t>
      </w:r>
    </w:p>
    <w:p w14:paraId="22866B8D" w14:textId="77777777" w:rsidR="001D3D41" w:rsidRDefault="001D3D41" w:rsidP="001D3D41">
      <w:pPr>
        <w:spacing w:beforeLines="100" w:before="312"/>
        <w:ind w:left="708" w:hangingChars="354" w:hanging="708"/>
        <w:rPr>
          <w:i/>
          <w:u w:val="single"/>
        </w:rPr>
      </w:pPr>
      <w:r w:rsidRPr="00C631BF">
        <w:rPr>
          <w:i/>
          <w:highlight w:val="cyan"/>
          <w:u w:val="single"/>
        </w:rPr>
        <w:t xml:space="preserve">Issue 3: </w:t>
      </w:r>
      <w:r>
        <w:rPr>
          <w:i/>
          <w:highlight w:val="cyan"/>
          <w:u w:val="single"/>
        </w:rPr>
        <w:t>Cell barring check when RedCap-specific initial BWP is configured</w:t>
      </w:r>
      <w:r w:rsidRPr="00C631BF">
        <w:rPr>
          <w:i/>
          <w:highlight w:val="cyan"/>
          <w:u w:val="single"/>
        </w:rPr>
        <w:t>?</w:t>
      </w:r>
    </w:p>
    <w:p w14:paraId="059F4B14" w14:textId="5B9762FF" w:rsidR="001D3D41" w:rsidRDefault="00873553" w:rsidP="001D3D41">
      <w:r>
        <w:t xml:space="preserve">According TS 38.331, legacy UE can determine whether NR cell is barred based on the bandwidth of initial BWP and cell specific CBW. </w:t>
      </w:r>
    </w:p>
    <w:tbl>
      <w:tblPr>
        <w:tblStyle w:val="af5"/>
        <w:tblW w:w="0" w:type="auto"/>
        <w:tblLook w:val="04A0" w:firstRow="1" w:lastRow="0" w:firstColumn="1" w:lastColumn="0" w:noHBand="0" w:noVBand="1"/>
      </w:tblPr>
      <w:tblGrid>
        <w:gridCol w:w="9995"/>
      </w:tblGrid>
      <w:tr w:rsidR="00873553" w14:paraId="1E63ABF5" w14:textId="77777777" w:rsidTr="00873553">
        <w:tc>
          <w:tcPr>
            <w:tcW w:w="9995" w:type="dxa"/>
          </w:tcPr>
          <w:p w14:paraId="6812C12B" w14:textId="33AA68EB" w:rsidR="00873553" w:rsidRPr="00873553" w:rsidRDefault="00873553" w:rsidP="00873553">
            <w:pPr>
              <w:widowControl/>
              <w:overflowPunct w:val="0"/>
              <w:autoSpaceDE w:val="0"/>
              <w:autoSpaceDN w:val="0"/>
              <w:adjustRightInd w:val="0"/>
              <w:spacing w:after="0"/>
              <w:jc w:val="left"/>
              <w:textAlignment w:val="baseline"/>
              <w:rPr>
                <w:rFonts w:ascii="Times New Roman" w:hAnsi="Times New Roman"/>
                <w:b/>
                <w:kern w:val="0"/>
                <w:szCs w:val="20"/>
                <w:lang w:val="en-GB" w:eastAsia="zh-CN"/>
              </w:rPr>
            </w:pPr>
            <w:r w:rsidRPr="00873553">
              <w:rPr>
                <w:rFonts w:ascii="Times New Roman" w:hAnsi="Times New Roman" w:hint="eastAsia"/>
                <w:b/>
                <w:kern w:val="0"/>
                <w:szCs w:val="20"/>
                <w:lang w:val="en-GB" w:eastAsia="zh-CN"/>
              </w:rPr>
              <w:t>T</w:t>
            </w:r>
            <w:r w:rsidRPr="00873553">
              <w:rPr>
                <w:rFonts w:ascii="Times New Roman" w:hAnsi="Times New Roman"/>
                <w:b/>
                <w:kern w:val="0"/>
                <w:szCs w:val="20"/>
                <w:lang w:val="en-GB" w:eastAsia="zh-CN"/>
              </w:rPr>
              <w:t>S 38.331 section 5.2.2.4.2</w:t>
            </w:r>
            <w:r w:rsidRPr="00873553">
              <w:rPr>
                <w:rFonts w:ascii="Times New Roman" w:hAnsi="Times New Roman"/>
                <w:b/>
                <w:kern w:val="0"/>
                <w:szCs w:val="20"/>
                <w:lang w:val="en-GB" w:eastAsia="zh-CN"/>
              </w:rPr>
              <w:tab/>
              <w:t>Actions upon reception of the SIB1</w:t>
            </w:r>
          </w:p>
          <w:p w14:paraId="5FD616D0" w14:textId="77777777" w:rsidR="00873553" w:rsidRPr="00873553" w:rsidRDefault="00873553" w:rsidP="00873553">
            <w:pPr>
              <w:widowControl/>
              <w:overflowPunct w:val="0"/>
              <w:autoSpaceDE w:val="0"/>
              <w:autoSpaceDN w:val="0"/>
              <w:adjustRightInd w:val="0"/>
              <w:spacing w:after="0"/>
              <w:ind w:left="851" w:hanging="284"/>
              <w:jc w:val="left"/>
              <w:textAlignment w:val="baseline"/>
              <w:rPr>
                <w:rFonts w:ascii="Times New Roman" w:eastAsia="Times New Roman" w:hAnsi="Times New Roman"/>
                <w:kern w:val="0"/>
                <w:szCs w:val="20"/>
                <w:lang w:val="en-GB" w:eastAsia="ja-JP"/>
              </w:rPr>
            </w:pPr>
            <w:r w:rsidRPr="00873553">
              <w:rPr>
                <w:rFonts w:ascii="Times New Roman" w:eastAsia="Times New Roman" w:hAnsi="Times New Roman"/>
                <w:kern w:val="0"/>
                <w:szCs w:val="20"/>
                <w:lang w:val="en-GB" w:eastAsia="ja-JP"/>
              </w:rPr>
              <w:t>2&gt;</w:t>
            </w:r>
            <w:r w:rsidRPr="00873553">
              <w:rPr>
                <w:rFonts w:ascii="Times New Roman" w:eastAsia="Times New Roman" w:hAnsi="Times New Roman"/>
                <w:kern w:val="0"/>
                <w:szCs w:val="20"/>
                <w:lang w:val="en-GB" w:eastAsia="ja-JP"/>
              </w:rPr>
              <w:tab/>
              <w:t>if the UE supports an uplink channel bandwidth with a maximum transmission bandwidth configuration (see TS 38.101-1 [15] and TS 38.101-2 [39]) which</w:t>
            </w:r>
          </w:p>
          <w:p w14:paraId="33361F80" w14:textId="77777777" w:rsidR="00873553" w:rsidRPr="00873553" w:rsidRDefault="00873553" w:rsidP="00873553">
            <w:pPr>
              <w:widowControl/>
              <w:overflowPunct w:val="0"/>
              <w:autoSpaceDE w:val="0"/>
              <w:autoSpaceDN w:val="0"/>
              <w:adjustRightInd w:val="0"/>
              <w:spacing w:after="0"/>
              <w:ind w:left="1135" w:hanging="284"/>
              <w:jc w:val="left"/>
              <w:textAlignment w:val="baseline"/>
              <w:rPr>
                <w:rFonts w:ascii="Times New Roman" w:eastAsia="Times New Roman" w:hAnsi="Times New Roman"/>
                <w:kern w:val="0"/>
                <w:szCs w:val="20"/>
                <w:lang w:val="en-GB" w:eastAsia="ja-JP"/>
              </w:rPr>
            </w:pPr>
            <w:r w:rsidRPr="00873553">
              <w:rPr>
                <w:rFonts w:ascii="Times New Roman" w:eastAsia="Times New Roman" w:hAnsi="Times New Roman"/>
                <w:kern w:val="0"/>
                <w:szCs w:val="20"/>
                <w:lang w:val="en-GB" w:eastAsia="ja-JP"/>
              </w:rPr>
              <w:t>-</w:t>
            </w:r>
            <w:r w:rsidRPr="00873553">
              <w:rPr>
                <w:rFonts w:ascii="Times New Roman" w:eastAsia="Times New Roman" w:hAnsi="Times New Roman"/>
                <w:kern w:val="0"/>
                <w:szCs w:val="20"/>
                <w:lang w:val="en-GB" w:eastAsia="ja-JP"/>
              </w:rPr>
              <w:tab/>
              <w:t xml:space="preserve">is smaller than or equal to the </w:t>
            </w:r>
            <w:r w:rsidRPr="00873553">
              <w:rPr>
                <w:rFonts w:ascii="Times New Roman" w:eastAsia="Times New Roman" w:hAnsi="Times New Roman"/>
                <w:i/>
                <w:kern w:val="0"/>
                <w:szCs w:val="20"/>
                <w:lang w:val="en-GB" w:eastAsia="ja-JP"/>
              </w:rPr>
              <w:t>carrierBandwidth</w:t>
            </w:r>
            <w:r w:rsidRPr="00873553">
              <w:rPr>
                <w:rFonts w:ascii="Times New Roman" w:eastAsia="Times New Roman" w:hAnsi="Times New Roman"/>
                <w:kern w:val="0"/>
                <w:szCs w:val="20"/>
                <w:lang w:val="en-GB" w:eastAsia="ja-JP"/>
              </w:rPr>
              <w:t xml:space="preserve"> (indicated in </w:t>
            </w:r>
            <w:r w:rsidRPr="00873553">
              <w:rPr>
                <w:rFonts w:ascii="Times New Roman" w:eastAsia="Times New Roman" w:hAnsi="Times New Roman"/>
                <w:i/>
                <w:kern w:val="0"/>
                <w:szCs w:val="20"/>
                <w:lang w:val="en-GB" w:eastAsia="ja-JP"/>
              </w:rPr>
              <w:t>uplinkConfigCommon</w:t>
            </w:r>
            <w:r w:rsidRPr="00873553">
              <w:rPr>
                <w:rFonts w:ascii="Times New Roman" w:eastAsia="Times New Roman" w:hAnsi="Times New Roman"/>
                <w:kern w:val="0"/>
                <w:szCs w:val="20"/>
                <w:lang w:val="en-GB" w:eastAsia="ja-JP"/>
              </w:rPr>
              <w:t xml:space="preserve"> for the SCS of the initial uplink BWP), and which</w:t>
            </w:r>
          </w:p>
          <w:p w14:paraId="3E634798" w14:textId="77777777" w:rsidR="00873553" w:rsidRPr="00873553" w:rsidRDefault="00873553" w:rsidP="00873553">
            <w:pPr>
              <w:widowControl/>
              <w:overflowPunct w:val="0"/>
              <w:autoSpaceDE w:val="0"/>
              <w:autoSpaceDN w:val="0"/>
              <w:adjustRightInd w:val="0"/>
              <w:spacing w:after="0"/>
              <w:ind w:left="1135" w:hanging="284"/>
              <w:jc w:val="left"/>
              <w:textAlignment w:val="baseline"/>
              <w:rPr>
                <w:rFonts w:ascii="Times New Roman" w:eastAsia="Times New Roman" w:hAnsi="Times New Roman"/>
                <w:kern w:val="0"/>
                <w:szCs w:val="20"/>
                <w:lang w:val="en-GB" w:eastAsia="ja-JP"/>
              </w:rPr>
            </w:pPr>
            <w:r w:rsidRPr="00873553">
              <w:rPr>
                <w:rFonts w:ascii="Times New Roman" w:eastAsia="Times New Roman" w:hAnsi="Times New Roman"/>
                <w:kern w:val="0"/>
                <w:szCs w:val="20"/>
                <w:lang w:val="en-GB" w:eastAsia="ja-JP"/>
              </w:rPr>
              <w:t>-</w:t>
            </w:r>
            <w:r w:rsidRPr="00873553">
              <w:rPr>
                <w:rFonts w:ascii="Times New Roman" w:eastAsia="Times New Roman" w:hAnsi="Times New Roman"/>
                <w:kern w:val="0"/>
                <w:szCs w:val="20"/>
                <w:lang w:val="en-GB" w:eastAsia="ja-JP"/>
              </w:rPr>
              <w:tab/>
            </w:r>
            <w:r w:rsidRPr="00873553">
              <w:rPr>
                <w:rFonts w:ascii="Times New Roman" w:eastAsia="Times New Roman" w:hAnsi="Times New Roman"/>
                <w:color w:val="FF0000"/>
                <w:kern w:val="0"/>
                <w:szCs w:val="20"/>
                <w:lang w:val="en-GB" w:eastAsia="ja-JP"/>
              </w:rPr>
              <w:t xml:space="preserve">is wider than or equal to the bandwidth of the </w:t>
            </w:r>
            <w:r w:rsidRPr="00873553">
              <w:rPr>
                <w:rFonts w:ascii="Times New Roman" w:eastAsia="Times New Roman" w:hAnsi="Times New Roman"/>
                <w:color w:val="FF0000"/>
                <w:kern w:val="0"/>
                <w:szCs w:val="20"/>
                <w:highlight w:val="yellow"/>
                <w:lang w:val="en-GB" w:eastAsia="ja-JP"/>
              </w:rPr>
              <w:t>initial uplink BWP</w:t>
            </w:r>
            <w:r w:rsidRPr="00873553">
              <w:rPr>
                <w:rFonts w:ascii="Times New Roman" w:eastAsia="Times New Roman" w:hAnsi="Times New Roman"/>
                <w:kern w:val="0"/>
                <w:szCs w:val="20"/>
                <w:lang w:val="en-GB" w:eastAsia="ja-JP"/>
              </w:rPr>
              <w:t>, and</w:t>
            </w:r>
          </w:p>
          <w:p w14:paraId="01BE60BF" w14:textId="77777777" w:rsidR="00873553" w:rsidRPr="00873553" w:rsidRDefault="00873553" w:rsidP="00873553">
            <w:pPr>
              <w:widowControl/>
              <w:overflowPunct w:val="0"/>
              <w:autoSpaceDE w:val="0"/>
              <w:autoSpaceDN w:val="0"/>
              <w:adjustRightInd w:val="0"/>
              <w:spacing w:after="0"/>
              <w:ind w:left="851" w:hanging="284"/>
              <w:jc w:val="left"/>
              <w:textAlignment w:val="baseline"/>
              <w:rPr>
                <w:rFonts w:ascii="Times New Roman" w:eastAsia="Times New Roman" w:hAnsi="Times New Roman"/>
                <w:kern w:val="0"/>
                <w:szCs w:val="20"/>
                <w:lang w:val="en-GB" w:eastAsia="ja-JP"/>
              </w:rPr>
            </w:pPr>
            <w:r w:rsidRPr="00873553">
              <w:rPr>
                <w:rFonts w:ascii="Times New Roman" w:eastAsia="Times New Roman" w:hAnsi="Times New Roman"/>
                <w:kern w:val="0"/>
                <w:szCs w:val="20"/>
                <w:lang w:val="en-GB" w:eastAsia="ja-JP"/>
              </w:rPr>
              <w:t>2&gt;</w:t>
            </w:r>
            <w:r w:rsidRPr="00873553">
              <w:rPr>
                <w:rFonts w:ascii="Times New Roman" w:eastAsia="Times New Roman" w:hAnsi="Times New Roman"/>
                <w:kern w:val="0"/>
                <w:szCs w:val="20"/>
                <w:lang w:val="en-GB" w:eastAsia="ja-JP"/>
              </w:rPr>
              <w:tab/>
              <w:t>if the UE supports a downlink channel bandwidth with a maximum transmission bandwidth configuration (see TS 38.101-1 [15] and TS 38.101-2 [39]) which</w:t>
            </w:r>
          </w:p>
          <w:p w14:paraId="7F9240A5" w14:textId="77777777" w:rsidR="00873553" w:rsidRPr="00873553" w:rsidRDefault="00873553" w:rsidP="00873553">
            <w:pPr>
              <w:widowControl/>
              <w:overflowPunct w:val="0"/>
              <w:autoSpaceDE w:val="0"/>
              <w:autoSpaceDN w:val="0"/>
              <w:adjustRightInd w:val="0"/>
              <w:spacing w:after="0"/>
              <w:ind w:left="1135" w:hanging="284"/>
              <w:jc w:val="left"/>
              <w:textAlignment w:val="baseline"/>
              <w:rPr>
                <w:rFonts w:ascii="Times New Roman" w:eastAsia="Times New Roman" w:hAnsi="Times New Roman"/>
                <w:kern w:val="0"/>
                <w:szCs w:val="20"/>
                <w:lang w:val="en-GB" w:eastAsia="ja-JP"/>
              </w:rPr>
            </w:pPr>
            <w:r w:rsidRPr="00873553">
              <w:rPr>
                <w:rFonts w:ascii="Times New Roman" w:eastAsia="Times New Roman" w:hAnsi="Times New Roman"/>
                <w:kern w:val="0"/>
                <w:szCs w:val="20"/>
                <w:lang w:val="en-GB" w:eastAsia="ja-JP"/>
              </w:rPr>
              <w:t>-</w:t>
            </w:r>
            <w:r w:rsidRPr="00873553">
              <w:rPr>
                <w:rFonts w:ascii="Times New Roman" w:eastAsia="Times New Roman" w:hAnsi="Times New Roman"/>
                <w:kern w:val="0"/>
                <w:szCs w:val="20"/>
                <w:lang w:val="en-GB" w:eastAsia="ja-JP"/>
              </w:rPr>
              <w:tab/>
              <w:t xml:space="preserve">is smaller than or equal to the </w:t>
            </w:r>
            <w:r w:rsidRPr="00873553">
              <w:rPr>
                <w:rFonts w:ascii="Times New Roman" w:eastAsia="Times New Roman" w:hAnsi="Times New Roman"/>
                <w:i/>
                <w:kern w:val="0"/>
                <w:szCs w:val="20"/>
                <w:lang w:val="en-GB" w:eastAsia="ja-JP"/>
              </w:rPr>
              <w:t>carrierBandwidth</w:t>
            </w:r>
            <w:r w:rsidRPr="00873553">
              <w:rPr>
                <w:rFonts w:ascii="Times New Roman" w:eastAsia="Times New Roman" w:hAnsi="Times New Roman"/>
                <w:kern w:val="0"/>
                <w:szCs w:val="20"/>
                <w:lang w:val="en-GB" w:eastAsia="ja-JP"/>
              </w:rPr>
              <w:t xml:space="preserve"> (indicated in </w:t>
            </w:r>
            <w:r w:rsidRPr="00873553">
              <w:rPr>
                <w:rFonts w:ascii="Times New Roman" w:eastAsia="Times New Roman" w:hAnsi="Times New Roman"/>
                <w:i/>
                <w:kern w:val="0"/>
                <w:szCs w:val="20"/>
                <w:lang w:val="en-GB" w:eastAsia="ja-JP"/>
              </w:rPr>
              <w:t>downlinkConfigCommon</w:t>
            </w:r>
            <w:r w:rsidRPr="00873553">
              <w:rPr>
                <w:rFonts w:ascii="Times New Roman" w:eastAsia="Times New Roman" w:hAnsi="Times New Roman"/>
                <w:kern w:val="0"/>
                <w:szCs w:val="20"/>
                <w:lang w:val="en-GB" w:eastAsia="ja-JP"/>
              </w:rPr>
              <w:t xml:space="preserve"> for the SCS of the initial downlink BWP), and which</w:t>
            </w:r>
          </w:p>
          <w:p w14:paraId="28C7022A" w14:textId="77777777" w:rsidR="00873553" w:rsidRPr="00873553" w:rsidRDefault="00873553" w:rsidP="00873553">
            <w:pPr>
              <w:widowControl/>
              <w:overflowPunct w:val="0"/>
              <w:autoSpaceDE w:val="0"/>
              <w:autoSpaceDN w:val="0"/>
              <w:adjustRightInd w:val="0"/>
              <w:spacing w:after="0"/>
              <w:ind w:left="1135" w:hanging="284"/>
              <w:jc w:val="left"/>
              <w:textAlignment w:val="baseline"/>
              <w:rPr>
                <w:rFonts w:ascii="Times New Roman" w:eastAsia="Times New Roman" w:hAnsi="Times New Roman"/>
                <w:kern w:val="0"/>
                <w:szCs w:val="20"/>
                <w:lang w:val="en-GB" w:eastAsia="ja-JP"/>
              </w:rPr>
            </w:pPr>
            <w:r w:rsidRPr="00873553">
              <w:rPr>
                <w:rFonts w:ascii="Times New Roman" w:eastAsia="Times New Roman" w:hAnsi="Times New Roman"/>
                <w:kern w:val="0"/>
                <w:szCs w:val="20"/>
                <w:lang w:val="en-GB" w:eastAsia="ja-JP"/>
              </w:rPr>
              <w:t>-</w:t>
            </w:r>
            <w:r w:rsidRPr="00873553">
              <w:rPr>
                <w:rFonts w:ascii="Times New Roman" w:eastAsia="Times New Roman" w:hAnsi="Times New Roman"/>
                <w:kern w:val="0"/>
                <w:szCs w:val="20"/>
                <w:lang w:val="en-GB" w:eastAsia="ja-JP"/>
              </w:rPr>
              <w:tab/>
            </w:r>
            <w:r w:rsidRPr="00873553">
              <w:rPr>
                <w:rFonts w:ascii="Times New Roman" w:eastAsia="Times New Roman" w:hAnsi="Times New Roman"/>
                <w:color w:val="FF0000"/>
                <w:kern w:val="0"/>
                <w:szCs w:val="20"/>
                <w:lang w:val="en-GB" w:eastAsia="ja-JP"/>
              </w:rPr>
              <w:t xml:space="preserve">is wider than or equal to the bandwidth of the </w:t>
            </w:r>
            <w:r w:rsidRPr="00873553">
              <w:rPr>
                <w:rFonts w:ascii="Times New Roman" w:eastAsia="Times New Roman" w:hAnsi="Times New Roman"/>
                <w:color w:val="FF0000"/>
                <w:kern w:val="0"/>
                <w:szCs w:val="20"/>
                <w:highlight w:val="yellow"/>
                <w:lang w:val="en-GB" w:eastAsia="ja-JP"/>
              </w:rPr>
              <w:t>initial downlink BWP</w:t>
            </w:r>
            <w:r w:rsidRPr="00873553">
              <w:rPr>
                <w:rFonts w:ascii="Times New Roman" w:eastAsia="Times New Roman" w:hAnsi="Times New Roman"/>
                <w:kern w:val="0"/>
                <w:szCs w:val="20"/>
                <w:lang w:val="en-GB" w:eastAsia="ja-JP"/>
              </w:rPr>
              <w:t>, and</w:t>
            </w:r>
          </w:p>
          <w:p w14:paraId="0595ECD8" w14:textId="4494DC6B" w:rsidR="00873553" w:rsidRDefault="00873553" w:rsidP="00873553">
            <w:pPr>
              <w:spacing w:after="0"/>
              <w:rPr>
                <w:lang w:val="en-GB" w:eastAsia="zh-CN"/>
              </w:rPr>
            </w:pPr>
            <w:r w:rsidRPr="00873553">
              <w:rPr>
                <w:rFonts w:hint="eastAsia"/>
                <w:color w:val="0070C0"/>
                <w:lang w:val="en-GB" w:eastAsia="zh-CN"/>
              </w:rPr>
              <w:t xml:space="preserve"> </w:t>
            </w:r>
            <w:r w:rsidRPr="00873553">
              <w:rPr>
                <w:color w:val="0070C0"/>
                <w:lang w:val="en-GB" w:eastAsia="zh-CN"/>
              </w:rPr>
              <w:t xml:space="preserve">    *** omit non-related part ***</w:t>
            </w:r>
          </w:p>
          <w:p w14:paraId="6A18DC35" w14:textId="77777777" w:rsidR="00873553" w:rsidRPr="00873553" w:rsidRDefault="00873553" w:rsidP="00873553">
            <w:pPr>
              <w:widowControl/>
              <w:overflowPunct w:val="0"/>
              <w:autoSpaceDE w:val="0"/>
              <w:autoSpaceDN w:val="0"/>
              <w:adjustRightInd w:val="0"/>
              <w:spacing w:after="0"/>
              <w:ind w:left="851" w:hanging="284"/>
              <w:jc w:val="left"/>
              <w:textAlignment w:val="baseline"/>
              <w:rPr>
                <w:rFonts w:ascii="Times New Roman" w:eastAsia="Times New Roman" w:hAnsi="Times New Roman"/>
                <w:kern w:val="0"/>
                <w:szCs w:val="20"/>
                <w:lang w:val="en-GB" w:eastAsia="ja-JP"/>
              </w:rPr>
            </w:pPr>
            <w:r w:rsidRPr="00873553">
              <w:rPr>
                <w:rFonts w:ascii="Times New Roman" w:eastAsia="Times New Roman" w:hAnsi="Times New Roman"/>
                <w:kern w:val="0"/>
                <w:szCs w:val="20"/>
                <w:lang w:val="en-GB" w:eastAsia="ja-JP"/>
              </w:rPr>
              <w:t>2&gt;</w:t>
            </w:r>
            <w:r w:rsidRPr="00873553">
              <w:rPr>
                <w:rFonts w:ascii="Times New Roman" w:eastAsia="Times New Roman" w:hAnsi="Times New Roman"/>
                <w:kern w:val="0"/>
                <w:szCs w:val="20"/>
                <w:lang w:val="en-GB" w:eastAsia="ja-JP"/>
              </w:rPr>
              <w:tab/>
              <w:t>else:</w:t>
            </w:r>
          </w:p>
          <w:p w14:paraId="56C4C2B5" w14:textId="77777777" w:rsidR="00873553" w:rsidRPr="00873553" w:rsidRDefault="00873553" w:rsidP="00873553">
            <w:pPr>
              <w:widowControl/>
              <w:overflowPunct w:val="0"/>
              <w:autoSpaceDE w:val="0"/>
              <w:autoSpaceDN w:val="0"/>
              <w:adjustRightInd w:val="0"/>
              <w:spacing w:after="0"/>
              <w:ind w:left="1135" w:hanging="284"/>
              <w:jc w:val="left"/>
              <w:textAlignment w:val="baseline"/>
              <w:rPr>
                <w:rFonts w:ascii="Times New Roman" w:eastAsia="Times New Roman" w:hAnsi="Times New Roman"/>
                <w:kern w:val="0"/>
                <w:szCs w:val="20"/>
                <w:lang w:val="en-GB" w:eastAsia="ja-JP"/>
              </w:rPr>
            </w:pPr>
            <w:r w:rsidRPr="00873553">
              <w:rPr>
                <w:rFonts w:ascii="Times New Roman" w:eastAsia="Times New Roman" w:hAnsi="Times New Roman"/>
                <w:kern w:val="0"/>
                <w:szCs w:val="20"/>
                <w:lang w:val="en-GB" w:eastAsia="ja-JP"/>
              </w:rPr>
              <w:t>3&gt;</w:t>
            </w:r>
            <w:r w:rsidRPr="00873553">
              <w:rPr>
                <w:rFonts w:ascii="Times New Roman" w:eastAsia="Times New Roman" w:hAnsi="Times New Roman"/>
                <w:kern w:val="0"/>
                <w:szCs w:val="20"/>
                <w:lang w:val="en-GB" w:eastAsia="ja-JP"/>
              </w:rPr>
              <w:tab/>
              <w:t>consider the cell as barred in accordance with TS 38.304 [20]; and</w:t>
            </w:r>
          </w:p>
          <w:p w14:paraId="349DA22F" w14:textId="616B2FB9" w:rsidR="00873553" w:rsidRPr="00873553" w:rsidRDefault="00873553" w:rsidP="00873553">
            <w:pPr>
              <w:widowControl/>
              <w:overflowPunct w:val="0"/>
              <w:autoSpaceDE w:val="0"/>
              <w:autoSpaceDN w:val="0"/>
              <w:adjustRightInd w:val="0"/>
              <w:spacing w:after="0"/>
              <w:ind w:left="1135" w:hanging="284"/>
              <w:jc w:val="left"/>
              <w:textAlignment w:val="baseline"/>
              <w:rPr>
                <w:rFonts w:ascii="Times New Roman" w:eastAsia="MS PGothic" w:hAnsi="Times New Roman"/>
                <w:kern w:val="0"/>
                <w:szCs w:val="20"/>
                <w:lang w:val="en-GB" w:eastAsia="ja-JP"/>
              </w:rPr>
            </w:pPr>
            <w:r w:rsidRPr="00873553">
              <w:rPr>
                <w:rFonts w:ascii="Times New Roman" w:eastAsia="Times New Roman" w:hAnsi="Times New Roman"/>
                <w:kern w:val="0"/>
                <w:szCs w:val="20"/>
                <w:lang w:val="en-GB" w:eastAsia="ja-JP"/>
              </w:rPr>
              <w:t>3&gt;</w:t>
            </w:r>
            <w:r w:rsidRPr="00873553">
              <w:rPr>
                <w:rFonts w:ascii="Times New Roman" w:eastAsia="Times New Roman" w:hAnsi="Times New Roman"/>
                <w:kern w:val="0"/>
                <w:szCs w:val="20"/>
                <w:lang w:val="en-GB" w:eastAsia="ja-JP"/>
              </w:rPr>
              <w:tab/>
              <w:t xml:space="preserve">perform barring as if </w:t>
            </w:r>
            <w:r w:rsidRPr="00873553">
              <w:rPr>
                <w:rFonts w:ascii="Times New Roman" w:eastAsia="Times New Roman" w:hAnsi="Times New Roman"/>
                <w:i/>
                <w:kern w:val="0"/>
                <w:szCs w:val="20"/>
                <w:lang w:val="en-GB" w:eastAsia="ja-JP"/>
              </w:rPr>
              <w:t>intraFreqReselection</w:t>
            </w:r>
            <w:r w:rsidRPr="00873553">
              <w:rPr>
                <w:rFonts w:ascii="Times New Roman" w:eastAsia="Times New Roman" w:hAnsi="Times New Roman"/>
                <w:kern w:val="0"/>
                <w:szCs w:val="20"/>
                <w:lang w:val="en-GB" w:eastAsia="ja-JP"/>
              </w:rPr>
              <w:t xml:space="preserve"> is set to </w:t>
            </w:r>
            <w:r w:rsidRPr="00873553">
              <w:rPr>
                <w:rFonts w:ascii="Times New Roman" w:eastAsia="Times New Roman" w:hAnsi="Times New Roman"/>
                <w:i/>
                <w:kern w:val="0"/>
                <w:szCs w:val="20"/>
                <w:lang w:val="en-GB" w:eastAsia="ja-JP"/>
              </w:rPr>
              <w:t>notAllowed</w:t>
            </w:r>
            <w:r w:rsidRPr="00873553">
              <w:rPr>
                <w:rFonts w:ascii="Times New Roman" w:eastAsia="Times New Roman" w:hAnsi="Times New Roman"/>
                <w:kern w:val="0"/>
                <w:szCs w:val="20"/>
                <w:lang w:val="en-GB" w:eastAsia="ja-JP"/>
              </w:rPr>
              <w:t>;</w:t>
            </w:r>
          </w:p>
        </w:tc>
      </w:tr>
    </w:tbl>
    <w:p w14:paraId="7B7E4253" w14:textId="249E70BA" w:rsidR="00873553" w:rsidRDefault="00977E6D" w:rsidP="001D3D41">
      <w:r>
        <w:rPr>
          <w:rFonts w:hint="eastAsia"/>
        </w:rPr>
        <w:t>S</w:t>
      </w:r>
      <w:r>
        <w:t>o only if</w:t>
      </w:r>
      <w:r w:rsidR="00DA4A94">
        <w:t xml:space="preserve"> the</w:t>
      </w:r>
      <w:r>
        <w:t xml:space="preserve"> UE supports a BW that is smaller than or equal to cell specific CBW, and it is wider than or equal to the BW of initial BWP, the UE can access the cell. </w:t>
      </w:r>
    </w:p>
    <w:p w14:paraId="35C37200" w14:textId="42E0ADAA" w:rsidR="00873553" w:rsidRDefault="00977E6D" w:rsidP="001D3D41">
      <w:r>
        <w:t>For RedCap UEs, if RedCap-specific initial BWP is configured, it is natural to use the RedCap-specific initial BWP to determine the baring status of the cell. So we propose.</w:t>
      </w:r>
    </w:p>
    <w:p w14:paraId="5E5B63CF" w14:textId="3807A055" w:rsidR="00873553" w:rsidRPr="00977E6D" w:rsidRDefault="00873553" w:rsidP="00977E6D">
      <w:pPr>
        <w:tabs>
          <w:tab w:val="left" w:pos="1276"/>
        </w:tabs>
        <w:ind w:left="1273" w:hangingChars="634" w:hanging="1273"/>
        <w:rPr>
          <w:b/>
        </w:rPr>
      </w:pPr>
      <w:r w:rsidRPr="00E051A0">
        <w:rPr>
          <w:b/>
        </w:rPr>
        <w:t xml:space="preserve">Proposal </w:t>
      </w:r>
      <w:r>
        <w:rPr>
          <w:b/>
        </w:rPr>
        <w:t>3</w:t>
      </w:r>
      <w:r w:rsidRPr="00E051A0">
        <w:rPr>
          <w:b/>
        </w:rPr>
        <w:t xml:space="preserve">: </w:t>
      </w:r>
      <w:r w:rsidRPr="00E051A0">
        <w:rPr>
          <w:b/>
        </w:rPr>
        <w:tab/>
      </w:r>
      <w:r w:rsidR="00977E6D">
        <w:rPr>
          <w:b/>
        </w:rPr>
        <w:t xml:space="preserve">If RedCap-specific initial BWP is configured, the cell barring determination is performed based on the bandwidth of RedCap-specific initial BWP instead of legacy initial BWP. </w:t>
      </w:r>
    </w:p>
    <w:p w14:paraId="1058D23C" w14:textId="3CC582B0" w:rsidR="009F3FC5" w:rsidRPr="00864E90" w:rsidRDefault="009F3FC5" w:rsidP="00EB1556">
      <w:pPr>
        <w:spacing w:beforeLines="100" w:before="312"/>
        <w:ind w:left="708" w:hangingChars="354" w:hanging="708"/>
        <w:rPr>
          <w:i/>
          <w:u w:val="single"/>
        </w:rPr>
      </w:pPr>
      <w:r w:rsidRPr="00C631BF">
        <w:rPr>
          <w:i/>
          <w:highlight w:val="cyan"/>
          <w:u w:val="single"/>
        </w:rPr>
        <w:t xml:space="preserve">Issue </w:t>
      </w:r>
      <w:r w:rsidR="001D3D41">
        <w:rPr>
          <w:i/>
          <w:highlight w:val="cyan"/>
          <w:u w:val="single"/>
        </w:rPr>
        <w:t>4</w:t>
      </w:r>
      <w:r w:rsidRPr="00C631BF">
        <w:rPr>
          <w:i/>
          <w:highlight w:val="cyan"/>
          <w:u w:val="single"/>
        </w:rPr>
        <w:t xml:space="preserve">: Can network </w:t>
      </w:r>
      <w:r w:rsidR="00864E90" w:rsidRPr="00C631BF">
        <w:rPr>
          <w:i/>
          <w:highlight w:val="cyan"/>
          <w:u w:val="single"/>
        </w:rPr>
        <w:t>only</w:t>
      </w:r>
      <w:r w:rsidRPr="00C631BF">
        <w:rPr>
          <w:i/>
          <w:highlight w:val="cyan"/>
          <w:u w:val="single"/>
        </w:rPr>
        <w:t xml:space="preserve"> configure the </w:t>
      </w:r>
      <w:r w:rsidR="00864E90" w:rsidRPr="00C631BF">
        <w:rPr>
          <w:i/>
          <w:highlight w:val="cyan"/>
          <w:u w:val="single"/>
        </w:rPr>
        <w:t>common</w:t>
      </w:r>
      <w:r w:rsidR="00764069">
        <w:rPr>
          <w:i/>
          <w:highlight w:val="cyan"/>
          <w:u w:val="single"/>
        </w:rPr>
        <w:t xml:space="preserve"> part of RedCap-s</w:t>
      </w:r>
      <w:r w:rsidRPr="00C631BF">
        <w:rPr>
          <w:i/>
          <w:highlight w:val="cyan"/>
          <w:u w:val="single"/>
        </w:rPr>
        <w:t>pecific initial BWP</w:t>
      </w:r>
      <w:r w:rsidR="00864E90" w:rsidRPr="00C631BF">
        <w:rPr>
          <w:i/>
          <w:highlight w:val="cyan"/>
          <w:u w:val="single"/>
        </w:rPr>
        <w:t xml:space="preserve"> (without dedicated part)</w:t>
      </w:r>
      <w:r w:rsidRPr="00C631BF">
        <w:rPr>
          <w:i/>
          <w:highlight w:val="cyan"/>
          <w:u w:val="single"/>
        </w:rPr>
        <w:t>?</w:t>
      </w:r>
      <w:r w:rsidR="00864E90">
        <w:rPr>
          <w:i/>
          <w:u w:val="single"/>
        </w:rPr>
        <w:t xml:space="preserve"> </w:t>
      </w:r>
    </w:p>
    <w:p w14:paraId="718EF2BC" w14:textId="6D4B50FD" w:rsidR="00764069" w:rsidRDefault="00C631BF" w:rsidP="00746674">
      <w:r>
        <w:t xml:space="preserve">For legacy initial BWP, according to TS 38.331 annex B, </w:t>
      </w:r>
      <w:r w:rsidR="00DA4A94">
        <w:t xml:space="preserve">the </w:t>
      </w:r>
      <w:r>
        <w:t xml:space="preserve">UE may be configured with only common part of #BWP0, in this case, </w:t>
      </w:r>
      <w:r w:rsidR="00764069">
        <w:t xml:space="preserve">#BWP0 is not considered as a RRC configured BWP, and </w:t>
      </w:r>
      <w:r w:rsidR="00DA4A94">
        <w:t xml:space="preserve">the </w:t>
      </w:r>
      <w:r>
        <w:t>network can configure up to 4 dedicated BWPs</w:t>
      </w:r>
      <w:r w:rsidR="00764069">
        <w:t xml:space="preserve"> to the UE. </w:t>
      </w:r>
    </w:p>
    <w:p w14:paraId="4C9CFFE7" w14:textId="0C364F4B" w:rsidR="009F3FC5" w:rsidRDefault="00764069" w:rsidP="00746674">
      <w:r>
        <w:t>For RedCap-specific initial BWP, to avoid IoT problem, we would like to clarify whether this mechanism can be applied or not? In general, there are two options:</w:t>
      </w:r>
    </w:p>
    <w:p w14:paraId="1A8CA034" w14:textId="682DAE27" w:rsidR="00764069" w:rsidRDefault="00764069" w:rsidP="00764069">
      <w:pPr>
        <w:pStyle w:val="afffffff3"/>
        <w:numPr>
          <w:ilvl w:val="0"/>
          <w:numId w:val="26"/>
        </w:numPr>
        <w:ind w:left="1276" w:hanging="1276"/>
      </w:pPr>
      <w:r>
        <w:t xml:space="preserve">Option 1: [Not applicable] For RRC Connected UE, if RedCap-specific initial BWP is configured, it must include both common and dedicated part. In this case, </w:t>
      </w:r>
      <w:r w:rsidR="00DA4A94">
        <w:t xml:space="preserve">the </w:t>
      </w:r>
      <w:r>
        <w:t>network can configure up to 3 dedicated BWPs;</w:t>
      </w:r>
    </w:p>
    <w:p w14:paraId="46A0F9BD" w14:textId="783184B9" w:rsidR="00764069" w:rsidRDefault="00764069" w:rsidP="00746674">
      <w:pPr>
        <w:pStyle w:val="afffffff3"/>
        <w:numPr>
          <w:ilvl w:val="0"/>
          <w:numId w:val="26"/>
        </w:numPr>
        <w:ind w:left="1276" w:hanging="1276"/>
      </w:pPr>
      <w:r>
        <w:t xml:space="preserve">Option 2: [Applicable] For RRC Connected UE, </w:t>
      </w:r>
      <w:r w:rsidR="00DA4A94">
        <w:t xml:space="preserve">the </w:t>
      </w:r>
      <w:r>
        <w:t xml:space="preserve">network is allowed to not provide dedicated configuration of RedCap-specific initial BWP to UE, in this case, RedCap-specific initial BWP is not considered as a RRC configured BWP, and </w:t>
      </w:r>
      <w:r w:rsidR="00DA4A94">
        <w:t xml:space="preserve">the </w:t>
      </w:r>
      <w:r>
        <w:t xml:space="preserve">network can configure up to 4 dedicated BWPs. </w:t>
      </w:r>
    </w:p>
    <w:p w14:paraId="38AF2F37" w14:textId="33A87D1D" w:rsidR="00C631BF" w:rsidRDefault="00B3055E" w:rsidP="00746674">
      <w:r>
        <w:lastRenderedPageBreak/>
        <w:t xml:space="preserve">Option 1 is simpler from specification point of view, but Option 2 can provide more flexibility to </w:t>
      </w:r>
      <w:r w:rsidR="00DA4A94">
        <w:t xml:space="preserve">the </w:t>
      </w:r>
      <w:r>
        <w:t xml:space="preserve">network. </w:t>
      </w:r>
      <w:r w:rsidR="00764069">
        <w:t xml:space="preserve">For Option 2, without updating BWP-ID field, the BWP-ID of RedCap-specific initial BWP should use the same value as legacy initial BWP (e.g. ID=0).  </w:t>
      </w:r>
    </w:p>
    <w:p w14:paraId="62189388" w14:textId="053A5B6A" w:rsidR="00B3055E" w:rsidRDefault="00B3055E" w:rsidP="009C14A3">
      <w:r>
        <w:t>We don’t have strong preference between the two options, but</w:t>
      </w:r>
      <w:r w:rsidR="009C14A3">
        <w:t xml:space="preserve"> to avoid IoT problem,</w:t>
      </w:r>
      <w:r>
        <w:t xml:space="preserve"> it is worth to </w:t>
      </w:r>
      <w:r w:rsidR="009C14A3">
        <w:t xml:space="preserve">clarify and </w:t>
      </w:r>
      <w:r>
        <w:t xml:space="preserve">make it clear in specification. </w:t>
      </w:r>
    </w:p>
    <w:p w14:paraId="71E45E6C" w14:textId="16636F69" w:rsidR="00764069" w:rsidRPr="00C076E1" w:rsidRDefault="00764069" w:rsidP="00764069">
      <w:pPr>
        <w:tabs>
          <w:tab w:val="left" w:pos="1276"/>
        </w:tabs>
        <w:ind w:left="1273" w:hangingChars="634" w:hanging="1273"/>
        <w:rPr>
          <w:b/>
        </w:rPr>
      </w:pPr>
      <w:r w:rsidRPr="00E051A0">
        <w:rPr>
          <w:b/>
        </w:rPr>
        <w:t xml:space="preserve">Proposal </w:t>
      </w:r>
      <w:r w:rsidR="009C14A3">
        <w:rPr>
          <w:b/>
        </w:rPr>
        <w:t>4</w:t>
      </w:r>
      <w:r w:rsidRPr="00E051A0">
        <w:rPr>
          <w:b/>
        </w:rPr>
        <w:t xml:space="preserve">: </w:t>
      </w:r>
      <w:r w:rsidRPr="00E051A0">
        <w:rPr>
          <w:b/>
        </w:rPr>
        <w:tab/>
      </w:r>
      <w:r w:rsidR="00B3055E">
        <w:rPr>
          <w:b/>
        </w:rPr>
        <w:t xml:space="preserve">For RedCap in RRC Connected mode, to discuss whether </w:t>
      </w:r>
      <w:r w:rsidR="00DA4A94">
        <w:rPr>
          <w:b/>
        </w:rPr>
        <w:t xml:space="preserve">the </w:t>
      </w:r>
      <w:r w:rsidR="00B3055E" w:rsidRPr="00B3055E">
        <w:rPr>
          <w:b/>
        </w:rPr>
        <w:t xml:space="preserve">network </w:t>
      </w:r>
      <w:r w:rsidR="00B3055E">
        <w:rPr>
          <w:b/>
        </w:rPr>
        <w:t xml:space="preserve">is allowed to only </w:t>
      </w:r>
      <w:r w:rsidR="00B3055E" w:rsidRPr="00B3055E">
        <w:rPr>
          <w:b/>
        </w:rPr>
        <w:t xml:space="preserve">configure the common part </w:t>
      </w:r>
      <w:r w:rsidR="00B3055E">
        <w:rPr>
          <w:b/>
        </w:rPr>
        <w:t>of RedCap-specific initial BWP (as for legacy initial BWP).</w:t>
      </w:r>
    </w:p>
    <w:p w14:paraId="03E43477" w14:textId="519CC313" w:rsidR="00921203" w:rsidRPr="00C631BF" w:rsidRDefault="00921203" w:rsidP="00EB1556">
      <w:pPr>
        <w:spacing w:beforeLines="100" w:before="312"/>
        <w:rPr>
          <w:i/>
          <w:u w:val="single"/>
        </w:rPr>
      </w:pPr>
      <w:r w:rsidRPr="00C631BF">
        <w:rPr>
          <w:i/>
          <w:highlight w:val="cyan"/>
          <w:u w:val="single"/>
        </w:rPr>
        <w:t xml:space="preserve">Issue </w:t>
      </w:r>
      <w:r w:rsidR="001D3D41">
        <w:rPr>
          <w:i/>
          <w:highlight w:val="cyan"/>
          <w:u w:val="single"/>
        </w:rPr>
        <w:t>5</w:t>
      </w:r>
      <w:r w:rsidRPr="00C631BF">
        <w:rPr>
          <w:i/>
          <w:highlight w:val="cyan"/>
          <w:u w:val="single"/>
        </w:rPr>
        <w:t>: Whether RedCap UE should mandatorily support RedCap-</w:t>
      </w:r>
      <w:r w:rsidR="006C0AAF" w:rsidRPr="00C631BF">
        <w:rPr>
          <w:i/>
          <w:highlight w:val="cyan"/>
          <w:u w:val="single"/>
        </w:rPr>
        <w:t>S</w:t>
      </w:r>
      <w:r w:rsidRPr="00C631BF">
        <w:rPr>
          <w:i/>
          <w:highlight w:val="cyan"/>
          <w:u w:val="single"/>
        </w:rPr>
        <w:t>pecific initial BWP?</w:t>
      </w:r>
    </w:p>
    <w:p w14:paraId="26D1C9E9" w14:textId="5DB51FED" w:rsidR="006440DD" w:rsidRDefault="00B3055E" w:rsidP="00746674">
      <w:r>
        <w:rPr>
          <w:rFonts w:hint="eastAsia"/>
        </w:rPr>
        <w:t>T</w:t>
      </w:r>
      <w:r>
        <w:t>his issue appears because some company propose</w:t>
      </w:r>
      <w:r w:rsidR="00666BC6">
        <w:t>s</w:t>
      </w:r>
      <w:r>
        <w:t xml:space="preserve"> to discuss the UE behavior </w:t>
      </w:r>
      <w:r w:rsidR="00666BC6">
        <w:t>if</w:t>
      </w:r>
      <w:r>
        <w:t xml:space="preserve"> </w:t>
      </w:r>
      <w:r w:rsidR="00666BC6">
        <w:t xml:space="preserve">RedCap UE does not support the signaled </w:t>
      </w:r>
      <w:r>
        <w:t xml:space="preserve">RedCap-specific initial BWP. </w:t>
      </w:r>
    </w:p>
    <w:p w14:paraId="0B1D09EF" w14:textId="3655C08C" w:rsidR="00D14BB4" w:rsidRDefault="00B3055E" w:rsidP="00746674">
      <w:r>
        <w:t xml:space="preserve">In our view, RedCap specific initial BWP is per-cell deployed, not per-UE. </w:t>
      </w:r>
      <w:r w:rsidR="00666BC6">
        <w:t>T</w:t>
      </w:r>
      <w:r>
        <w:t>he main reason for using RedCap UE is because</w:t>
      </w:r>
      <w:r w:rsidR="00666BC6">
        <w:t xml:space="preserve"> </w:t>
      </w:r>
      <w:r>
        <w:t xml:space="preserve">legacy </w:t>
      </w:r>
      <w:r w:rsidR="00666BC6">
        <w:t xml:space="preserve">initial BWP does not RedCap access (e.g. due to large bandwidth). Considering the MIB and SIB1 messages are commonly transmitted for a cell, when network deploys RedCap feature by configuring a RedCap-specific initial BWP in SIB1, the network will set the RedCap indications in system information (e.g. RedCap specific IFRI, cell barred indication for 1Rx/2Rx), these are based on the assumption that all RedCap UEs should support RedCap-specific initial BWP. If some RedCap UEs do not support RedCap-specific initial BWP, they will be misled by the indications in SIB. And such problem is unsolvable. </w:t>
      </w:r>
    </w:p>
    <w:p w14:paraId="070B3444" w14:textId="4ADA6AD6" w:rsidR="00666BC6" w:rsidRDefault="00666BC6" w:rsidP="00746674">
      <w:r>
        <w:t xml:space="preserve">So from network perspective, we think RedCap capable UEs should mandatorily support RedCap-specific initial BWP. Various UE types will cause much more complexity to </w:t>
      </w:r>
      <w:r w:rsidR="00DA4A94">
        <w:t xml:space="preserve">the </w:t>
      </w:r>
      <w:r>
        <w:t xml:space="preserve">network, and makes this feature hard to be implemented. </w:t>
      </w:r>
    </w:p>
    <w:p w14:paraId="68F488A3" w14:textId="48D85C07" w:rsidR="00666BC6" w:rsidRPr="00C076E1" w:rsidRDefault="00666BC6" w:rsidP="00666BC6">
      <w:pPr>
        <w:tabs>
          <w:tab w:val="left" w:pos="1276"/>
        </w:tabs>
        <w:ind w:left="1273" w:hangingChars="634" w:hanging="1273"/>
        <w:rPr>
          <w:b/>
        </w:rPr>
      </w:pPr>
      <w:r w:rsidRPr="00E051A0">
        <w:rPr>
          <w:b/>
        </w:rPr>
        <w:t xml:space="preserve">Proposal </w:t>
      </w:r>
      <w:r w:rsidR="009C14A3">
        <w:rPr>
          <w:b/>
        </w:rPr>
        <w:t>5</w:t>
      </w:r>
      <w:r w:rsidRPr="00E051A0">
        <w:rPr>
          <w:b/>
        </w:rPr>
        <w:t xml:space="preserve">: </w:t>
      </w:r>
      <w:r w:rsidRPr="00E051A0">
        <w:rPr>
          <w:b/>
        </w:rPr>
        <w:tab/>
      </w:r>
      <w:r w:rsidRPr="00666BC6">
        <w:rPr>
          <w:b/>
        </w:rPr>
        <w:t>RedCap UE should mandatorily support RedCap-Specific initial BWP</w:t>
      </w:r>
      <w:r>
        <w:rPr>
          <w:b/>
        </w:rPr>
        <w:t>.</w:t>
      </w:r>
    </w:p>
    <w:p w14:paraId="4799A58D" w14:textId="15017DAA" w:rsidR="00081B64" w:rsidRDefault="000D6D3B" w:rsidP="00081B6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NCD-SSB</w:t>
      </w:r>
    </w:p>
    <w:p w14:paraId="593BAC43" w14:textId="1342628C" w:rsidR="006440DD" w:rsidRDefault="00D14BB4" w:rsidP="00746674">
      <w:r>
        <w:rPr>
          <w:rFonts w:hint="eastAsia"/>
        </w:rPr>
        <w:t>F</w:t>
      </w:r>
      <w:r>
        <w:t xml:space="preserve">or RRC Connected RedCap UE, as agreed in RAN1/2, </w:t>
      </w:r>
      <w:r w:rsidR="00DA4A94">
        <w:t xml:space="preserve">the </w:t>
      </w:r>
      <w:r>
        <w:t>network can configure NCD-SSB when the BWP does not contain CD-SSB, the motivation is facilitate</w:t>
      </w:r>
      <w:r w:rsidR="00DA4A94">
        <w:t xml:space="preserve"> the</w:t>
      </w:r>
      <w:r>
        <w:t xml:space="preserve"> UE to perform RLM/BFD…etc based on SSB. So RedCap UE is not forced to support CSI-RS based operation, and measurement gap can be avoid as much as possible. </w:t>
      </w:r>
    </w:p>
    <w:p w14:paraId="0FCB7893" w14:textId="7747F11D" w:rsidR="00D14BB4" w:rsidRDefault="00D14BB4" w:rsidP="00746674">
      <w:r>
        <w:t xml:space="preserve">During pre-meeting email discussion [1], there is a question relates to the configuration framework of NCD-SSB, and the assumption is to provide NCD-SSB configuration in BWP-DownlinkDedicated, which means it is per-BWP configured. However, we don’t’ think such configuration makes sense, mostly because </w:t>
      </w:r>
      <w:r w:rsidR="00DA4A94">
        <w:t xml:space="preserve">the </w:t>
      </w:r>
      <w:r>
        <w:t xml:space="preserve">network may configure multiple BWPs contain the same NCD-SSB. </w:t>
      </w:r>
    </w:p>
    <w:p w14:paraId="6BB01F97" w14:textId="6DDFB69A" w:rsidR="00D14BB4" w:rsidRDefault="00094DAE" w:rsidP="00746674">
      <w:r>
        <w:t xml:space="preserve">In legacy NR, </w:t>
      </w:r>
      <w:r w:rsidR="00D475F6">
        <w:t xml:space="preserve">for non-RedCap UEs, </w:t>
      </w:r>
      <w:r w:rsidR="00DA4A94">
        <w:t xml:space="preserve">the </w:t>
      </w:r>
      <w:r w:rsidR="00D475F6">
        <w:t xml:space="preserve">network can configure more than one dedicated BWPs </w:t>
      </w:r>
      <w:r w:rsidR="001D3D41">
        <w:t>that</w:t>
      </w:r>
      <w:r w:rsidR="00D475F6">
        <w:t xml:space="preserve"> cover the same CD-SSB. Similarly, for RedCap UEs, we think </w:t>
      </w:r>
      <w:r w:rsidR="00DA4A94">
        <w:t xml:space="preserve">the </w:t>
      </w:r>
      <w:r w:rsidR="00D475F6">
        <w:t xml:space="preserve">network can also configure multiple BWPs </w:t>
      </w:r>
      <w:r w:rsidR="003B45C7">
        <w:t>containing</w:t>
      </w:r>
      <w:r w:rsidR="001D3D41">
        <w:t xml:space="preserve"> </w:t>
      </w:r>
      <w:r w:rsidR="00D475F6">
        <w:t>the sam</w:t>
      </w:r>
      <w:r w:rsidR="00293D8A">
        <w:t>e NCD-SSB</w:t>
      </w:r>
      <w:r w:rsidR="001D3D41">
        <w:t xml:space="preserve"> (shown in below figure). </w:t>
      </w:r>
    </w:p>
    <w:p w14:paraId="28B659AD" w14:textId="7E29DF53" w:rsidR="009F3FC5" w:rsidRDefault="00D475F6" w:rsidP="00D475F6">
      <w:pPr>
        <w:jc w:val="center"/>
      </w:pPr>
      <w:r>
        <w:object w:dxaOrig="8491" w:dyaOrig="4058" w14:anchorId="0FC11AB2">
          <v:shape id="_x0000_i1026" type="#_x0000_t75" style="width:424.5pt;height:203pt" o:ole="">
            <v:imagedata r:id="rId11" o:title=""/>
          </v:shape>
          <o:OLEObject Type="Embed" ProgID="Visio.Drawing.11" ShapeID="_x0000_i1026" DrawAspect="Content" ObjectID="_1706392351" r:id="rId12"/>
        </w:object>
      </w:r>
    </w:p>
    <w:p w14:paraId="4BB599AF" w14:textId="35C04B29" w:rsidR="0028673E" w:rsidRDefault="001D3D41" w:rsidP="0028673E">
      <w:pPr>
        <w:jc w:val="center"/>
      </w:pPr>
      <w:r>
        <w:t>Figure 2 Example of BWP configuration for RedCap UE</w:t>
      </w:r>
    </w:p>
    <w:p w14:paraId="10D5A498" w14:textId="11464935" w:rsidR="0028673E" w:rsidRPr="003B45C7" w:rsidRDefault="0028673E" w:rsidP="003B45C7">
      <w:pPr>
        <w:ind w:left="1273" w:hangingChars="634" w:hanging="1273"/>
        <w:rPr>
          <w:b/>
        </w:rPr>
      </w:pPr>
      <w:r>
        <w:rPr>
          <w:b/>
        </w:rPr>
        <w:t xml:space="preserve">Observation </w:t>
      </w:r>
      <w:r w:rsidR="009C14A3">
        <w:rPr>
          <w:b/>
        </w:rPr>
        <w:t>2</w:t>
      </w:r>
      <w:r w:rsidRPr="00C70B91">
        <w:rPr>
          <w:b/>
        </w:rPr>
        <w:t xml:space="preserve">: </w:t>
      </w:r>
      <w:r>
        <w:rPr>
          <w:b/>
        </w:rPr>
        <w:t xml:space="preserve"> Similar to non-RedCap UEs, </w:t>
      </w:r>
      <w:r w:rsidR="003B45C7">
        <w:rPr>
          <w:b/>
        </w:rPr>
        <w:t xml:space="preserve">for RedCap UEs, the </w:t>
      </w:r>
      <w:r>
        <w:rPr>
          <w:b/>
        </w:rPr>
        <w:t xml:space="preserve">network may configure multiple </w:t>
      </w:r>
      <w:r w:rsidR="003B45C7">
        <w:rPr>
          <w:b/>
        </w:rPr>
        <w:t xml:space="preserve">BWPs containing the same NCD-SSB. </w:t>
      </w:r>
    </w:p>
    <w:p w14:paraId="191F923E" w14:textId="7FACAE4F" w:rsidR="009C6654" w:rsidRPr="009C6654" w:rsidRDefault="007F25C2" w:rsidP="009C6654">
      <w:r>
        <w:t xml:space="preserve">For CD-SSB, </w:t>
      </w:r>
      <w:r w:rsidR="00A84147">
        <w:t xml:space="preserve">the SSB configuration is defined in </w:t>
      </w:r>
      <w:r w:rsidR="00A84147" w:rsidRPr="009C6654">
        <w:rPr>
          <w:i/>
        </w:rPr>
        <w:t>FrequencyInfoDL</w:t>
      </w:r>
      <w:r w:rsidR="00A84147">
        <w:t xml:space="preserve">, this IE is per-cell configured and common for all BWP. </w:t>
      </w:r>
      <w:r w:rsidR="009C6654">
        <w:t xml:space="preserve">In addition, FrequencyInfoDL is contained in both ServingCellConfigCommon and ServingCellConfigCommonSIB. </w:t>
      </w:r>
    </w:p>
    <w:p w14:paraId="6B3A23A5" w14:textId="77777777" w:rsidR="009C6654" w:rsidRPr="009C6654" w:rsidRDefault="009C6654" w:rsidP="009C665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C6654">
        <w:rPr>
          <w:rFonts w:ascii="Courier New" w:eastAsia="Times New Roman" w:hAnsi="Courier New"/>
          <w:noProof/>
          <w:kern w:val="0"/>
          <w:sz w:val="16"/>
          <w:szCs w:val="20"/>
          <w:lang w:val="en-GB" w:eastAsia="en-GB"/>
        </w:rPr>
        <w:t xml:space="preserve">FrequencyInfoDL ::=                 </w:t>
      </w:r>
      <w:r w:rsidRPr="009C6654">
        <w:rPr>
          <w:rFonts w:ascii="Courier New" w:eastAsia="Times New Roman" w:hAnsi="Courier New"/>
          <w:noProof/>
          <w:color w:val="993366"/>
          <w:kern w:val="0"/>
          <w:sz w:val="16"/>
          <w:szCs w:val="20"/>
          <w:lang w:val="en-GB" w:eastAsia="en-GB"/>
        </w:rPr>
        <w:t>SEQUENCE</w:t>
      </w:r>
      <w:r w:rsidRPr="009C6654">
        <w:rPr>
          <w:rFonts w:ascii="Courier New" w:eastAsia="Times New Roman" w:hAnsi="Courier New"/>
          <w:noProof/>
          <w:kern w:val="0"/>
          <w:sz w:val="16"/>
          <w:szCs w:val="20"/>
          <w:lang w:val="en-GB" w:eastAsia="en-GB"/>
        </w:rPr>
        <w:t xml:space="preserve"> {</w:t>
      </w:r>
    </w:p>
    <w:p w14:paraId="307669F4" w14:textId="0F242D35" w:rsidR="009C6654" w:rsidRPr="009C6654" w:rsidRDefault="009C6654" w:rsidP="009C665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C6654">
        <w:rPr>
          <w:rFonts w:ascii="Courier New" w:eastAsia="Times New Roman" w:hAnsi="Courier New"/>
          <w:noProof/>
          <w:kern w:val="0"/>
          <w:sz w:val="16"/>
          <w:szCs w:val="20"/>
          <w:lang w:val="en-GB" w:eastAsia="en-GB"/>
        </w:rPr>
        <w:t xml:space="preserve">    </w:t>
      </w:r>
      <w:r w:rsidRPr="009C6654">
        <w:rPr>
          <w:rFonts w:ascii="Courier New" w:eastAsia="Times New Roman" w:hAnsi="Courier New"/>
          <w:noProof/>
          <w:kern w:val="0"/>
          <w:sz w:val="16"/>
          <w:szCs w:val="20"/>
          <w:highlight w:val="yellow"/>
          <w:lang w:val="en-GB" w:eastAsia="en-GB"/>
        </w:rPr>
        <w:t>absoluteFrequencySSB</w:t>
      </w:r>
      <w:r w:rsidRPr="009C6654">
        <w:rPr>
          <w:rFonts w:ascii="Courier New" w:eastAsia="Times New Roman" w:hAnsi="Courier New"/>
          <w:noProof/>
          <w:kern w:val="0"/>
          <w:sz w:val="16"/>
          <w:szCs w:val="20"/>
          <w:lang w:val="en-GB" w:eastAsia="en-GB"/>
        </w:rPr>
        <w:t xml:space="preserve">                ARFCN-ValueNR        </w:t>
      </w:r>
      <w:r>
        <w:rPr>
          <w:rFonts w:ascii="Courier New" w:eastAsia="Times New Roman" w:hAnsi="Courier New"/>
          <w:noProof/>
          <w:kern w:val="0"/>
          <w:sz w:val="16"/>
          <w:szCs w:val="20"/>
          <w:lang w:val="en-GB" w:eastAsia="en-GB"/>
        </w:rPr>
        <w:t xml:space="preserve">          </w:t>
      </w:r>
      <w:r w:rsidRPr="009C6654">
        <w:rPr>
          <w:rFonts w:ascii="Courier New" w:eastAsia="Times New Roman" w:hAnsi="Courier New"/>
          <w:noProof/>
          <w:color w:val="993366"/>
          <w:kern w:val="0"/>
          <w:sz w:val="16"/>
          <w:szCs w:val="20"/>
          <w:lang w:val="en-GB" w:eastAsia="en-GB"/>
        </w:rPr>
        <w:t>OPTIONAL</w:t>
      </w:r>
      <w:r w:rsidRPr="009C6654">
        <w:rPr>
          <w:rFonts w:ascii="Courier New" w:eastAsia="Times New Roman" w:hAnsi="Courier New"/>
          <w:noProof/>
          <w:kern w:val="0"/>
          <w:sz w:val="16"/>
          <w:szCs w:val="20"/>
          <w:lang w:val="en-GB" w:eastAsia="en-GB"/>
        </w:rPr>
        <w:t xml:space="preserve">,   </w:t>
      </w:r>
      <w:r w:rsidRPr="009C6654">
        <w:rPr>
          <w:rFonts w:ascii="Courier New" w:eastAsia="Times New Roman" w:hAnsi="Courier New"/>
          <w:noProof/>
          <w:color w:val="808080"/>
          <w:kern w:val="0"/>
          <w:sz w:val="16"/>
          <w:szCs w:val="20"/>
          <w:lang w:val="en-GB" w:eastAsia="en-GB"/>
        </w:rPr>
        <w:t>-- Cond SpCellAdd</w:t>
      </w:r>
    </w:p>
    <w:p w14:paraId="49CB769A" w14:textId="77777777" w:rsidR="009C6654" w:rsidRPr="009C6654" w:rsidRDefault="009C6654" w:rsidP="009C665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C6654">
        <w:rPr>
          <w:rFonts w:ascii="Courier New" w:eastAsia="Times New Roman" w:hAnsi="Courier New"/>
          <w:noProof/>
          <w:kern w:val="0"/>
          <w:sz w:val="16"/>
          <w:szCs w:val="20"/>
          <w:lang w:val="en-GB" w:eastAsia="en-GB"/>
        </w:rPr>
        <w:t xml:space="preserve">    frequencyBandList                   MultiFrequencyBandListNR,</w:t>
      </w:r>
    </w:p>
    <w:p w14:paraId="1D91DE4B" w14:textId="77777777" w:rsidR="009C6654" w:rsidRPr="009C6654" w:rsidRDefault="009C6654" w:rsidP="009C665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C6654">
        <w:rPr>
          <w:rFonts w:ascii="Courier New" w:eastAsia="Times New Roman" w:hAnsi="Courier New"/>
          <w:noProof/>
          <w:kern w:val="0"/>
          <w:sz w:val="16"/>
          <w:szCs w:val="20"/>
          <w:lang w:val="en-GB" w:eastAsia="en-GB"/>
        </w:rPr>
        <w:t xml:space="preserve">    absoluteFrequencyPointA             ARFCN-ValueNR,</w:t>
      </w:r>
    </w:p>
    <w:p w14:paraId="0009AFC1" w14:textId="77777777" w:rsidR="009C6654" w:rsidRPr="009C6654" w:rsidRDefault="009C6654" w:rsidP="009C665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C6654">
        <w:rPr>
          <w:rFonts w:ascii="Courier New" w:eastAsia="Times New Roman" w:hAnsi="Courier New"/>
          <w:noProof/>
          <w:kern w:val="0"/>
          <w:sz w:val="16"/>
          <w:szCs w:val="20"/>
          <w:lang w:val="en-GB" w:eastAsia="en-GB"/>
        </w:rPr>
        <w:t xml:space="preserve">    scs-SpecificCarrierList             </w:t>
      </w:r>
      <w:r w:rsidRPr="009C6654">
        <w:rPr>
          <w:rFonts w:ascii="Courier New" w:eastAsia="Times New Roman" w:hAnsi="Courier New"/>
          <w:noProof/>
          <w:color w:val="993366"/>
          <w:kern w:val="0"/>
          <w:sz w:val="16"/>
          <w:szCs w:val="20"/>
          <w:lang w:val="en-GB" w:eastAsia="en-GB"/>
        </w:rPr>
        <w:t>SEQUENCE</w:t>
      </w:r>
      <w:r w:rsidRPr="009C6654">
        <w:rPr>
          <w:rFonts w:ascii="Courier New" w:eastAsia="Times New Roman" w:hAnsi="Courier New"/>
          <w:noProof/>
          <w:kern w:val="0"/>
          <w:sz w:val="16"/>
          <w:szCs w:val="20"/>
          <w:lang w:val="en-GB" w:eastAsia="en-GB"/>
        </w:rPr>
        <w:t xml:space="preserve"> (</w:t>
      </w:r>
      <w:r w:rsidRPr="009C6654">
        <w:rPr>
          <w:rFonts w:ascii="Courier New" w:eastAsia="Times New Roman" w:hAnsi="Courier New"/>
          <w:noProof/>
          <w:color w:val="993366"/>
          <w:kern w:val="0"/>
          <w:sz w:val="16"/>
          <w:szCs w:val="20"/>
          <w:lang w:val="en-GB" w:eastAsia="en-GB"/>
        </w:rPr>
        <w:t>SIZE</w:t>
      </w:r>
      <w:r w:rsidRPr="009C6654">
        <w:rPr>
          <w:rFonts w:ascii="Courier New" w:eastAsia="Times New Roman" w:hAnsi="Courier New"/>
          <w:noProof/>
          <w:kern w:val="0"/>
          <w:sz w:val="16"/>
          <w:szCs w:val="20"/>
          <w:lang w:val="en-GB" w:eastAsia="en-GB"/>
        </w:rPr>
        <w:t xml:space="preserve"> (1..maxSCSs))</w:t>
      </w:r>
      <w:r w:rsidRPr="009C6654">
        <w:rPr>
          <w:rFonts w:ascii="Courier New" w:eastAsia="Times New Roman" w:hAnsi="Courier New"/>
          <w:noProof/>
          <w:color w:val="993366"/>
          <w:kern w:val="0"/>
          <w:sz w:val="16"/>
          <w:szCs w:val="20"/>
          <w:lang w:val="en-GB" w:eastAsia="en-GB"/>
        </w:rPr>
        <w:t xml:space="preserve"> OF</w:t>
      </w:r>
      <w:r w:rsidRPr="009C6654">
        <w:rPr>
          <w:rFonts w:ascii="Courier New" w:eastAsia="Times New Roman" w:hAnsi="Courier New"/>
          <w:noProof/>
          <w:kern w:val="0"/>
          <w:sz w:val="16"/>
          <w:szCs w:val="20"/>
          <w:lang w:val="en-GB" w:eastAsia="en-GB"/>
        </w:rPr>
        <w:t xml:space="preserve"> SCS-SpecificCarrier,</w:t>
      </w:r>
    </w:p>
    <w:p w14:paraId="0EA81DB0" w14:textId="77777777" w:rsidR="009C6654" w:rsidRPr="009C6654" w:rsidRDefault="009C6654" w:rsidP="009C665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C6654">
        <w:rPr>
          <w:rFonts w:ascii="Courier New" w:eastAsia="Times New Roman" w:hAnsi="Courier New"/>
          <w:noProof/>
          <w:kern w:val="0"/>
          <w:sz w:val="16"/>
          <w:szCs w:val="20"/>
          <w:lang w:val="en-GB" w:eastAsia="en-GB"/>
        </w:rPr>
        <w:t xml:space="preserve">    ...</w:t>
      </w:r>
    </w:p>
    <w:p w14:paraId="2A41F4BB" w14:textId="6287A09C" w:rsidR="009C6654" w:rsidRPr="009C6654" w:rsidRDefault="009C6654" w:rsidP="009C665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C6654">
        <w:rPr>
          <w:rFonts w:ascii="Courier New" w:eastAsia="Times New Roman" w:hAnsi="Courier New"/>
          <w:noProof/>
          <w:kern w:val="0"/>
          <w:sz w:val="16"/>
          <w:szCs w:val="20"/>
          <w:lang w:val="en-GB" w:eastAsia="en-GB"/>
        </w:rPr>
        <w:t>}</w:t>
      </w:r>
    </w:p>
    <w:p w14:paraId="34292332" w14:textId="767D8057" w:rsidR="00D475F6" w:rsidRDefault="009C6654" w:rsidP="00746674">
      <w:r>
        <w:t>For NCD-SSB, based on current conclusion, it can only be configured for RRC Connected UEs, not for idle/inactive UEs, so it cannot be added to FrequencyInfoDL. Regarding the signaling of NCD-SSB configuration, there are two options:</w:t>
      </w:r>
    </w:p>
    <w:p w14:paraId="454B6F68" w14:textId="50816C11" w:rsidR="007F25C2" w:rsidRDefault="009C6654" w:rsidP="009C6654">
      <w:pPr>
        <w:pStyle w:val="afffffff3"/>
        <w:numPr>
          <w:ilvl w:val="0"/>
          <w:numId w:val="27"/>
        </w:numPr>
        <w:ind w:left="1276" w:hanging="1276"/>
      </w:pPr>
      <w:r>
        <w:rPr>
          <w:rFonts w:hint="eastAsia"/>
        </w:rPr>
        <w:t>O</w:t>
      </w:r>
      <w:r>
        <w:t>ption 1: Per-Cell</w:t>
      </w:r>
      <w:r w:rsidR="0028673E">
        <w:t xml:space="preserve"> configured.</w:t>
      </w:r>
      <w:r>
        <w:t xml:space="preserve"> </w:t>
      </w:r>
      <w:r w:rsidR="0028673E">
        <w:t>T</w:t>
      </w:r>
      <w:r>
        <w:t xml:space="preserve">he NCD-SSB frequency and periodicity are defined in </w:t>
      </w:r>
      <w:r w:rsidRPr="009C6654">
        <w:rPr>
          <w:i/>
        </w:rPr>
        <w:t>ServingCellConfig</w:t>
      </w:r>
      <w:r>
        <w:t xml:space="preserve">, </w:t>
      </w:r>
      <w:r w:rsidR="00DA4A94">
        <w:t xml:space="preserve">the </w:t>
      </w:r>
      <w:r>
        <w:t xml:space="preserve">network </w:t>
      </w:r>
      <w:r w:rsidR="00DA4A94">
        <w:t>and the</w:t>
      </w:r>
      <w:r>
        <w:t xml:space="preserve"> U</w:t>
      </w:r>
      <w:r w:rsidR="0028673E">
        <w:t>E can determine the association between BWP and SSB</w:t>
      </w:r>
      <w:r>
        <w:t xml:space="preserve"> based on the location in frequency domain.  </w:t>
      </w:r>
    </w:p>
    <w:p w14:paraId="4D1BED5B" w14:textId="19C6B0B9" w:rsidR="009C6654" w:rsidRDefault="009C6654" w:rsidP="009C6654">
      <w:pPr>
        <w:pStyle w:val="afffffff3"/>
        <w:numPr>
          <w:ilvl w:val="0"/>
          <w:numId w:val="27"/>
        </w:numPr>
        <w:ind w:left="1276" w:hanging="1276"/>
      </w:pPr>
      <w:r>
        <w:t xml:space="preserve">Option 2: Per-BWP configured. </w:t>
      </w:r>
      <w:r w:rsidR="0028673E">
        <w:t>T</w:t>
      </w:r>
      <w:r>
        <w:t xml:space="preserve">he NCD-SSB frequency and periodicity are defined in BWP-DownlinkDedicated, for multiple BWPs that contains the same NCD-SSB, the parameters in those BWPs should be configured with the same value. </w:t>
      </w:r>
    </w:p>
    <w:p w14:paraId="6611DA8A" w14:textId="0F85F150" w:rsidR="009C6654" w:rsidRPr="009C6654" w:rsidRDefault="0028673E" w:rsidP="00746674">
      <w:r>
        <w:t xml:space="preserve">In our view, Option 1 is more straightforward and aligned with the configuration of CD-SSB. We don’t prefer Option 2 because it requires </w:t>
      </w:r>
      <w:r w:rsidR="00DA4A94">
        <w:t xml:space="preserve">the </w:t>
      </w:r>
      <w:r>
        <w:t>network to signal duplicated configuration in BWPs. And no clear benefit is foreseen. Thus, we propose</w:t>
      </w:r>
      <w:r w:rsidR="003B45C7">
        <w:t>:</w:t>
      </w:r>
    </w:p>
    <w:p w14:paraId="2C53956E" w14:textId="6EA16AC2" w:rsidR="00081B64" w:rsidRPr="00C076E1" w:rsidRDefault="00081B64" w:rsidP="00081B64">
      <w:pPr>
        <w:tabs>
          <w:tab w:val="left" w:pos="1276"/>
        </w:tabs>
        <w:ind w:left="1273" w:hangingChars="634" w:hanging="1273"/>
        <w:rPr>
          <w:b/>
        </w:rPr>
      </w:pPr>
      <w:r w:rsidRPr="00E051A0">
        <w:rPr>
          <w:b/>
        </w:rPr>
        <w:t xml:space="preserve">Proposal </w:t>
      </w:r>
      <w:r w:rsidR="009C14A3">
        <w:rPr>
          <w:b/>
        </w:rPr>
        <w:t>6</w:t>
      </w:r>
      <w:r w:rsidRPr="00E051A0">
        <w:rPr>
          <w:b/>
        </w:rPr>
        <w:t xml:space="preserve">: </w:t>
      </w:r>
      <w:r w:rsidRPr="00E051A0">
        <w:rPr>
          <w:b/>
        </w:rPr>
        <w:tab/>
      </w:r>
      <w:r>
        <w:rPr>
          <w:b/>
        </w:rPr>
        <w:t xml:space="preserve">NCD-SSB is per cell configured, not per BWP. </w:t>
      </w:r>
      <w:r w:rsidR="0028673E">
        <w:rPr>
          <w:b/>
        </w:rPr>
        <w:t xml:space="preserve">The frequency and periodicity configuration of NCD-SSB can be defined in </w:t>
      </w:r>
      <w:r w:rsidR="0028673E" w:rsidRPr="0028673E">
        <w:rPr>
          <w:b/>
          <w:i/>
        </w:rPr>
        <w:t>ServingCellConfig</w:t>
      </w:r>
      <w:r w:rsidR="0028673E">
        <w:rPr>
          <w:b/>
        </w:rPr>
        <w:t>.</w:t>
      </w:r>
    </w:p>
    <w:p w14:paraId="7ACE456B" w14:textId="3D48C976" w:rsidR="00927974" w:rsidRDefault="00927974" w:rsidP="00746674">
      <w:r>
        <w:t>For NCD-SSB, the other questions are:</w:t>
      </w:r>
    </w:p>
    <w:p w14:paraId="4F5E28FE" w14:textId="2E07A138" w:rsidR="00081B64" w:rsidRDefault="00927974" w:rsidP="00927974">
      <w:pPr>
        <w:pStyle w:val="afffffff3"/>
        <w:numPr>
          <w:ilvl w:val="0"/>
          <w:numId w:val="28"/>
        </w:numPr>
      </w:pPr>
      <w:r>
        <w:t xml:space="preserve">Q1: whether </w:t>
      </w:r>
      <w:r w:rsidR="00DA4A94">
        <w:t xml:space="preserve">the </w:t>
      </w:r>
      <w:r>
        <w:t xml:space="preserve">network can configure multiple NCD-SSBs for </w:t>
      </w:r>
      <w:r w:rsidR="00DA4A94">
        <w:t xml:space="preserve">the </w:t>
      </w:r>
      <w:r>
        <w:t>UE (not for RRM purpose)? Like RedCap UE1 in below figure.</w:t>
      </w:r>
    </w:p>
    <w:p w14:paraId="1102C11C" w14:textId="1D495502" w:rsidR="00927974" w:rsidRDefault="00927974" w:rsidP="00927974">
      <w:pPr>
        <w:pStyle w:val="afffffff3"/>
        <w:numPr>
          <w:ilvl w:val="0"/>
          <w:numId w:val="28"/>
        </w:numPr>
      </w:pPr>
      <w:r>
        <w:lastRenderedPageBreak/>
        <w:t xml:space="preserve">Q2: If answers “Yes” to Q1, whether </w:t>
      </w:r>
      <w:r w:rsidR="00DA4A94">
        <w:t xml:space="preserve">the </w:t>
      </w:r>
      <w:r>
        <w:t xml:space="preserve">network can configure a BWP that contains two SSBs (can be NCD-SSB or CD-SSB)? Like RedCap UE2 in below figure. </w:t>
      </w:r>
    </w:p>
    <w:p w14:paraId="4B1B8C7F" w14:textId="2EFD0D76" w:rsidR="00927974" w:rsidRDefault="00927974" w:rsidP="00927974">
      <w:pPr>
        <w:jc w:val="center"/>
      </w:pPr>
      <w:r>
        <w:object w:dxaOrig="8564" w:dyaOrig="4058" w14:anchorId="6F8A7D7D">
          <v:shape id="_x0000_i1027" type="#_x0000_t75" style="width:428pt;height:203pt" o:ole="">
            <v:imagedata r:id="rId13" o:title=""/>
          </v:shape>
          <o:OLEObject Type="Embed" ProgID="Visio.Drawing.11" ShapeID="_x0000_i1027" DrawAspect="Content" ObjectID="_1706392352" r:id="rId14"/>
        </w:object>
      </w:r>
    </w:p>
    <w:p w14:paraId="0DF22959" w14:textId="1F7B33DF" w:rsidR="00927974" w:rsidRDefault="00927974" w:rsidP="00927974">
      <w:pPr>
        <w:jc w:val="center"/>
      </w:pPr>
      <w:r>
        <w:t>Figure 3 Example of NCD-SSB and BWP configuration for RedCap UE</w:t>
      </w:r>
    </w:p>
    <w:p w14:paraId="39B2DDD6" w14:textId="1FBE9129" w:rsidR="00081B64" w:rsidRDefault="00927974" w:rsidP="00CA5C28">
      <w:r>
        <w:rPr>
          <w:rFonts w:hint="eastAsia"/>
        </w:rPr>
        <w:t>F</w:t>
      </w:r>
      <w:r>
        <w:t xml:space="preserve">or Q1, </w:t>
      </w:r>
      <w:r w:rsidR="00CA5C28">
        <w:t>we actually prefer to finalize single NCD-SSB scenario in RAN2 first. Because we don’t have sufficient time to investigate the potential impact due to supporting multiple NCD-SSBs. But even if it is supported, for Q2, we strongly suggest not to consider it in Rel-17. First, each SSB has 20PRBs, it takes ~5MHz (SCS=15kHz) or ~10MHz (SCS=30kHz) in frequency domain. For RedCap UEs that supports up to 20MHz in FR1, it is not likely the network will deploy two SSBs within 20MHz bandwidth because SSB is very power/resource consuming. On the other hand, support of this scenario brings more complexities, like RAN2 needs to discuss how to determine the SSB used for RLM, BFD and QCL source, whether it can be dynamically changed</w:t>
      </w:r>
      <w:r w:rsidR="00873553">
        <w:t>?</w:t>
      </w:r>
      <w:r w:rsidR="00CA5C28">
        <w:t xml:space="preserve"> Considering there is only one meeting left, we suggest not to consider this scenario in Rel-17. </w:t>
      </w:r>
    </w:p>
    <w:p w14:paraId="1DF51DBB" w14:textId="6B261E63" w:rsidR="00081B64" w:rsidRPr="00C076E1" w:rsidRDefault="00081B64" w:rsidP="00081B64">
      <w:pPr>
        <w:tabs>
          <w:tab w:val="left" w:pos="1276"/>
        </w:tabs>
        <w:ind w:left="1273" w:hangingChars="634" w:hanging="1273"/>
        <w:rPr>
          <w:b/>
        </w:rPr>
      </w:pPr>
      <w:r w:rsidRPr="00E051A0">
        <w:rPr>
          <w:b/>
        </w:rPr>
        <w:t xml:space="preserve">Proposal </w:t>
      </w:r>
      <w:r w:rsidR="009C14A3">
        <w:rPr>
          <w:b/>
        </w:rPr>
        <w:t>7</w:t>
      </w:r>
      <w:r w:rsidRPr="00E051A0">
        <w:rPr>
          <w:b/>
        </w:rPr>
        <w:t xml:space="preserve">: </w:t>
      </w:r>
      <w:r w:rsidRPr="00E051A0">
        <w:rPr>
          <w:b/>
        </w:rPr>
        <w:tab/>
      </w:r>
      <w:r w:rsidR="00CA5C28">
        <w:rPr>
          <w:b/>
        </w:rPr>
        <w:t>O</w:t>
      </w:r>
      <w:r>
        <w:rPr>
          <w:b/>
        </w:rPr>
        <w:t xml:space="preserve">ne BWP contains more than one SSBs (e.g. CD-SSB and/or NCD-SSB) is not </w:t>
      </w:r>
      <w:r w:rsidR="009C14A3">
        <w:rPr>
          <w:b/>
        </w:rPr>
        <w:t>supported</w:t>
      </w:r>
      <w:r>
        <w:rPr>
          <w:b/>
        </w:rPr>
        <w:t xml:space="preserve"> in Rel-17.</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2954119F" w14:textId="77777777" w:rsidR="00BA4A19" w:rsidRPr="00C70B91" w:rsidRDefault="00BA4A19" w:rsidP="00BA4A19">
      <w:pPr>
        <w:ind w:left="1273" w:hangingChars="634" w:hanging="1273"/>
        <w:rPr>
          <w:b/>
        </w:rPr>
      </w:pPr>
      <w:bookmarkStart w:id="3" w:name="_Toc535476034"/>
      <w:r>
        <w:rPr>
          <w:b/>
        </w:rPr>
        <w:t xml:space="preserve">Observation </w:t>
      </w:r>
      <w:r w:rsidRPr="00C70B91">
        <w:rPr>
          <w:b/>
        </w:rPr>
        <w:t xml:space="preserve">1: </w:t>
      </w:r>
      <w:r>
        <w:rPr>
          <w:b/>
        </w:rPr>
        <w:t xml:space="preserve"> Same as legacy initial BWP, the common part of RedCap-specific initial DL&amp;UL BWP can be configured via SIB1 and RRC dedicated signaling, and the dedicated part is configured only via RRC dedicated signaling</w:t>
      </w:r>
      <w:r w:rsidRPr="00C70B91">
        <w:rPr>
          <w:b/>
        </w:rPr>
        <w:t xml:space="preserve">. </w:t>
      </w:r>
    </w:p>
    <w:p w14:paraId="6FA38FC8" w14:textId="77777777" w:rsidR="00BA4A19" w:rsidRPr="003B45C7" w:rsidRDefault="00BA4A19" w:rsidP="00BA4A19">
      <w:pPr>
        <w:ind w:left="1273" w:hangingChars="634" w:hanging="1273"/>
        <w:rPr>
          <w:b/>
        </w:rPr>
      </w:pPr>
      <w:r>
        <w:rPr>
          <w:b/>
        </w:rPr>
        <w:t>Observation 2</w:t>
      </w:r>
      <w:r w:rsidRPr="00C70B91">
        <w:rPr>
          <w:b/>
        </w:rPr>
        <w:t xml:space="preserve">: </w:t>
      </w:r>
      <w:r>
        <w:rPr>
          <w:b/>
        </w:rPr>
        <w:t xml:space="preserve"> Similar to non-RedCap UEs, for RedCap UEs, the network may configure multiple BWPs containing the same NCD-SSB. </w:t>
      </w:r>
    </w:p>
    <w:p w14:paraId="5D647940" w14:textId="77777777" w:rsidR="00BA4A19" w:rsidRPr="008A2DC4" w:rsidRDefault="00BA4A19" w:rsidP="00BA4A19">
      <w:pPr>
        <w:tabs>
          <w:tab w:val="left" w:pos="1276"/>
        </w:tabs>
        <w:ind w:left="1273" w:hangingChars="634" w:hanging="1273"/>
        <w:rPr>
          <w:b/>
        </w:rPr>
      </w:pPr>
      <w:r w:rsidRPr="00E051A0">
        <w:rPr>
          <w:b/>
        </w:rPr>
        <w:t xml:space="preserve">Proposal 1: </w:t>
      </w:r>
      <w:r w:rsidRPr="00E051A0">
        <w:rPr>
          <w:b/>
        </w:rPr>
        <w:tab/>
      </w:r>
      <w:r>
        <w:rPr>
          <w:b/>
        </w:rPr>
        <w:t xml:space="preserve">For RedCap-specific BWP, both common and dedicate configuration are provided using full configuration. Delta configuration compared to legacy initial BWP is not supported. </w:t>
      </w:r>
    </w:p>
    <w:p w14:paraId="136861AA" w14:textId="77777777" w:rsidR="00BA4A19" w:rsidRPr="00C076E1" w:rsidRDefault="00BA4A19" w:rsidP="00BA4A19">
      <w:pPr>
        <w:tabs>
          <w:tab w:val="left" w:pos="1276"/>
        </w:tabs>
        <w:ind w:left="1273" w:hangingChars="634" w:hanging="1273"/>
        <w:rPr>
          <w:b/>
        </w:rPr>
      </w:pPr>
      <w:r w:rsidRPr="00E051A0">
        <w:rPr>
          <w:b/>
        </w:rPr>
        <w:t xml:space="preserve">Proposal </w:t>
      </w:r>
      <w:r>
        <w:rPr>
          <w:b/>
        </w:rPr>
        <w:t>2</w:t>
      </w:r>
      <w:r w:rsidRPr="00E051A0">
        <w:rPr>
          <w:b/>
        </w:rPr>
        <w:t xml:space="preserve">: </w:t>
      </w:r>
      <w:r w:rsidRPr="00E051A0">
        <w:rPr>
          <w:b/>
        </w:rPr>
        <w:tab/>
      </w:r>
      <w:r>
        <w:rPr>
          <w:b/>
        </w:rPr>
        <w:t xml:space="preserve">In case RedCap-specific initial DL BWP contains CD-SSB, the PDCCH-ConfigCommon should include common search space configurations for paging, RAR, SIB1 and OSI. </w:t>
      </w:r>
      <w:r>
        <w:rPr>
          <w:b/>
        </w:rPr>
        <w:lastRenderedPageBreak/>
        <w:t xml:space="preserve">Absence of the field means the UE does not receive corresponding message (same as in legacy). For SIB1 and OSI, the search space configurations are aligned with the configurations in legacy initial DL BWP. </w:t>
      </w:r>
    </w:p>
    <w:p w14:paraId="4D1F5DE2" w14:textId="77777777" w:rsidR="00BA4A19" w:rsidRPr="00977E6D" w:rsidRDefault="00BA4A19" w:rsidP="00BA4A19">
      <w:pPr>
        <w:tabs>
          <w:tab w:val="left" w:pos="1276"/>
        </w:tabs>
        <w:ind w:left="1273" w:hangingChars="634" w:hanging="1273"/>
        <w:rPr>
          <w:b/>
        </w:rPr>
      </w:pPr>
      <w:r w:rsidRPr="00E051A0">
        <w:rPr>
          <w:b/>
        </w:rPr>
        <w:t xml:space="preserve">Proposal </w:t>
      </w:r>
      <w:r>
        <w:rPr>
          <w:b/>
        </w:rPr>
        <w:t>3</w:t>
      </w:r>
      <w:r w:rsidRPr="00E051A0">
        <w:rPr>
          <w:b/>
        </w:rPr>
        <w:t xml:space="preserve">: </w:t>
      </w:r>
      <w:r w:rsidRPr="00E051A0">
        <w:rPr>
          <w:b/>
        </w:rPr>
        <w:tab/>
      </w:r>
      <w:r>
        <w:rPr>
          <w:b/>
        </w:rPr>
        <w:t xml:space="preserve">If RedCap-specific initial BWP is configured, the cell barring determination is performed based on the bandwidth of RedCap-specific initial BWP instead of legacy initial BWP. </w:t>
      </w:r>
    </w:p>
    <w:p w14:paraId="04571B4F" w14:textId="4003920B" w:rsidR="00BA4A19" w:rsidRPr="00C076E1" w:rsidRDefault="00BA4A19" w:rsidP="00BA4A19">
      <w:pPr>
        <w:tabs>
          <w:tab w:val="left" w:pos="1276"/>
        </w:tabs>
        <w:ind w:left="1273" w:hangingChars="634" w:hanging="1273"/>
        <w:rPr>
          <w:b/>
        </w:rPr>
      </w:pPr>
      <w:r w:rsidRPr="00E051A0">
        <w:rPr>
          <w:b/>
        </w:rPr>
        <w:t xml:space="preserve">Proposal </w:t>
      </w:r>
      <w:r>
        <w:rPr>
          <w:b/>
        </w:rPr>
        <w:t>4</w:t>
      </w:r>
      <w:r w:rsidRPr="00E051A0">
        <w:rPr>
          <w:b/>
        </w:rPr>
        <w:t xml:space="preserve">: </w:t>
      </w:r>
      <w:r w:rsidRPr="00E051A0">
        <w:rPr>
          <w:b/>
        </w:rPr>
        <w:tab/>
      </w:r>
      <w:r>
        <w:rPr>
          <w:b/>
        </w:rPr>
        <w:t>For RedCap in RRC Connected mode, to discuss whether</w:t>
      </w:r>
      <w:r w:rsidR="00DA4A94">
        <w:rPr>
          <w:b/>
        </w:rPr>
        <w:t xml:space="preserve"> the</w:t>
      </w:r>
      <w:r>
        <w:rPr>
          <w:b/>
        </w:rPr>
        <w:t xml:space="preserve"> </w:t>
      </w:r>
      <w:r w:rsidRPr="00B3055E">
        <w:rPr>
          <w:b/>
        </w:rPr>
        <w:t xml:space="preserve">network </w:t>
      </w:r>
      <w:r>
        <w:rPr>
          <w:b/>
        </w:rPr>
        <w:t xml:space="preserve">is allowed to only </w:t>
      </w:r>
      <w:r w:rsidRPr="00B3055E">
        <w:rPr>
          <w:b/>
        </w:rPr>
        <w:t xml:space="preserve">configure the common part </w:t>
      </w:r>
      <w:r>
        <w:rPr>
          <w:b/>
        </w:rPr>
        <w:t>of RedCap-specific initial BWP (as for legacy initial BWP).</w:t>
      </w:r>
    </w:p>
    <w:p w14:paraId="765C4788" w14:textId="77777777" w:rsidR="00BA4A19" w:rsidRPr="00C076E1" w:rsidRDefault="00BA4A19" w:rsidP="00BA4A19">
      <w:pPr>
        <w:tabs>
          <w:tab w:val="left" w:pos="1276"/>
        </w:tabs>
        <w:ind w:left="1273" w:hangingChars="634" w:hanging="1273"/>
        <w:rPr>
          <w:b/>
        </w:rPr>
      </w:pPr>
      <w:r w:rsidRPr="00E051A0">
        <w:rPr>
          <w:b/>
        </w:rPr>
        <w:t xml:space="preserve">Proposal </w:t>
      </w:r>
      <w:r>
        <w:rPr>
          <w:b/>
        </w:rPr>
        <w:t>5</w:t>
      </w:r>
      <w:r w:rsidRPr="00E051A0">
        <w:rPr>
          <w:b/>
        </w:rPr>
        <w:t xml:space="preserve">: </w:t>
      </w:r>
      <w:r w:rsidRPr="00E051A0">
        <w:rPr>
          <w:b/>
        </w:rPr>
        <w:tab/>
      </w:r>
      <w:r w:rsidRPr="00666BC6">
        <w:rPr>
          <w:b/>
        </w:rPr>
        <w:t>RedCap UE should mandatorily support RedCap-Specific initial BWP</w:t>
      </w:r>
      <w:r>
        <w:rPr>
          <w:b/>
        </w:rPr>
        <w:t>.</w:t>
      </w:r>
    </w:p>
    <w:p w14:paraId="72EE9039" w14:textId="77777777" w:rsidR="00BA4A19" w:rsidRPr="00C076E1" w:rsidRDefault="00BA4A19" w:rsidP="00BA4A19">
      <w:pPr>
        <w:tabs>
          <w:tab w:val="left" w:pos="1276"/>
        </w:tabs>
        <w:ind w:left="1273" w:hangingChars="634" w:hanging="1273"/>
        <w:rPr>
          <w:b/>
        </w:rPr>
      </w:pPr>
      <w:r w:rsidRPr="00E051A0">
        <w:rPr>
          <w:b/>
        </w:rPr>
        <w:t xml:space="preserve">Proposal </w:t>
      </w:r>
      <w:r>
        <w:rPr>
          <w:b/>
        </w:rPr>
        <w:t>6</w:t>
      </w:r>
      <w:r w:rsidRPr="00E051A0">
        <w:rPr>
          <w:b/>
        </w:rPr>
        <w:t xml:space="preserve">: </w:t>
      </w:r>
      <w:r w:rsidRPr="00E051A0">
        <w:rPr>
          <w:b/>
        </w:rPr>
        <w:tab/>
      </w:r>
      <w:r>
        <w:rPr>
          <w:b/>
        </w:rPr>
        <w:t xml:space="preserve">NCD-SSB is per cell configured, not per BWP. The frequency and periodicity configuration of NCD-SSB can be defined in </w:t>
      </w:r>
      <w:r w:rsidRPr="0028673E">
        <w:rPr>
          <w:b/>
          <w:i/>
        </w:rPr>
        <w:t>ServingCellConfig</w:t>
      </w:r>
      <w:r>
        <w:rPr>
          <w:b/>
        </w:rPr>
        <w:t>.</w:t>
      </w:r>
    </w:p>
    <w:p w14:paraId="6E411AE0" w14:textId="77777777" w:rsidR="00BA4A19" w:rsidRPr="00C076E1" w:rsidRDefault="00BA4A19" w:rsidP="00BA4A19">
      <w:pPr>
        <w:tabs>
          <w:tab w:val="left" w:pos="1276"/>
        </w:tabs>
        <w:ind w:left="1273" w:hangingChars="634" w:hanging="1273"/>
        <w:rPr>
          <w:b/>
        </w:rPr>
      </w:pPr>
      <w:r w:rsidRPr="00E051A0">
        <w:rPr>
          <w:b/>
        </w:rPr>
        <w:t xml:space="preserve">Proposal </w:t>
      </w:r>
      <w:r>
        <w:rPr>
          <w:b/>
        </w:rPr>
        <w:t>7</w:t>
      </w:r>
      <w:r w:rsidRPr="00E051A0">
        <w:rPr>
          <w:b/>
        </w:rPr>
        <w:t xml:space="preserve">: </w:t>
      </w:r>
      <w:r w:rsidRPr="00E051A0">
        <w:rPr>
          <w:b/>
        </w:rPr>
        <w:tab/>
      </w:r>
      <w:r>
        <w:rPr>
          <w:b/>
        </w:rPr>
        <w:t>One BWP contains more than one SSBs (e.g. CD-SSB and/or NCD-SSB) is not supported in Rel-17.</w:t>
      </w:r>
    </w:p>
    <w:bookmarkEnd w:id="3"/>
    <w:p w14:paraId="755C1CBB" w14:textId="26CEAB9B" w:rsidR="00746674" w:rsidRDefault="00746674"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pPr>
      <w:r>
        <w:rPr>
          <w:rFonts w:cs="Arial"/>
          <w:b w:val="0"/>
          <w:bCs w:val="0"/>
          <w:kern w:val="0"/>
          <w:sz w:val="32"/>
          <w:szCs w:val="36"/>
        </w:rPr>
        <w:t>Reference</w:t>
      </w:r>
    </w:p>
    <w:p w14:paraId="69C72DCA" w14:textId="2713345E" w:rsidR="00746674" w:rsidRDefault="00746674" w:rsidP="005B39B3">
      <w:pPr>
        <w:ind w:left="284" w:hangingChars="142" w:hanging="284"/>
      </w:pPr>
      <w:r>
        <w:rPr>
          <w:rFonts w:hint="eastAsia"/>
        </w:rPr>
        <w:t>[</w:t>
      </w:r>
      <w:r>
        <w:t xml:space="preserve">1] </w:t>
      </w:r>
      <w:r w:rsidR="00D14BB4" w:rsidRPr="00D14BB4">
        <w:t>[Pre117-e][105][RedCap] CP open issues (Ericsson)</w:t>
      </w:r>
      <w:r w:rsidR="005B39B3">
        <w:rPr>
          <w:rFonts w:cs="Arial"/>
          <w:bCs/>
          <w:color w:val="000000"/>
          <w:szCs w:val="20"/>
          <w:lang w:val="en-GB"/>
        </w:rPr>
        <w:t>;</w:t>
      </w:r>
    </w:p>
    <w:p w14:paraId="62697A40" w14:textId="6D3E9A3A" w:rsidR="00746674" w:rsidRDefault="00746674" w:rsidP="005B39B3">
      <w:pPr>
        <w:ind w:left="284" w:hangingChars="142" w:hanging="284"/>
      </w:pPr>
      <w:r>
        <w:t xml:space="preserve">[2] </w:t>
      </w:r>
      <w:r w:rsidR="00F56DCF" w:rsidRPr="00F56DCF">
        <w:t>R2-2200608 Discussion on separate initial BWP and NCD-SSB for RedCap UE</w:t>
      </w:r>
      <w:r w:rsidR="004571DB">
        <w:t xml:space="preserve">  ZTE Corporation, Sanechips</w:t>
      </w:r>
    </w:p>
    <w:sectPr w:rsidR="00746674" w:rsidSect="00923FEC">
      <w:headerReference w:type="even" r:id="rId15"/>
      <w:headerReference w:type="default" r:id="rId16"/>
      <w:footerReference w:type="even" r:id="rId17"/>
      <w:footerReference w:type="default" r:id="rId18"/>
      <w:headerReference w:type="first" r:id="rId19"/>
      <w:footerReference w:type="first" r:id="rId20"/>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58925" w14:textId="77777777" w:rsidR="00BC54BA" w:rsidRDefault="00BC54BA">
      <w:pPr>
        <w:spacing w:after="0"/>
      </w:pPr>
      <w:r>
        <w:separator/>
      </w:r>
    </w:p>
  </w:endnote>
  <w:endnote w:type="continuationSeparator" w:id="0">
    <w:p w14:paraId="412CD247" w14:textId="77777777" w:rsidR="00BC54BA" w:rsidRDefault="00BC54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F56DCF" w:rsidRDefault="00F56DCF">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F56DCF" w:rsidRDefault="00F56DCF">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F56DCF" w:rsidRDefault="00F56DCF">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F56DCF" w:rsidRDefault="00F56DCF">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3399B" w14:textId="77777777" w:rsidR="00BC54BA" w:rsidRDefault="00BC54BA">
      <w:pPr>
        <w:spacing w:after="0"/>
      </w:pPr>
      <w:r>
        <w:separator/>
      </w:r>
    </w:p>
  </w:footnote>
  <w:footnote w:type="continuationSeparator" w:id="0">
    <w:p w14:paraId="114FA89C" w14:textId="77777777" w:rsidR="00BC54BA" w:rsidRDefault="00BC54B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F56DCF" w:rsidRDefault="00F56DCF">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F56DCF" w:rsidRDefault="00F56DCF">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F56DCF" w:rsidRDefault="00F56DCF">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7AE5DB1"/>
    <w:multiLevelType w:val="hybridMultilevel"/>
    <w:tmpl w:val="3C88BB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8F25F08"/>
    <w:multiLevelType w:val="hybridMultilevel"/>
    <w:tmpl w:val="253605D8"/>
    <w:lvl w:ilvl="0" w:tplc="32763680">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5E0D21"/>
    <w:multiLevelType w:val="hybridMultilevel"/>
    <w:tmpl w:val="9AB4734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723AC8"/>
    <w:multiLevelType w:val="hybridMultilevel"/>
    <w:tmpl w:val="97B81CD0"/>
    <w:lvl w:ilvl="0" w:tplc="0D164286">
      <w:start w:val="1"/>
      <w:numFmt w:val="bullet"/>
      <w:lvlText w:val="-"/>
      <w:lvlJc w:val="left"/>
      <w:pPr>
        <w:ind w:left="1560" w:hanging="360"/>
      </w:pPr>
      <w:rPr>
        <w:rFonts w:ascii="Arial" w:eastAsia="MS Mincho" w:hAnsi="Arial" w:cs="Arial" w:hint="default"/>
        <w:i/>
        <w:sz w:val="18"/>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6">
    <w:nsid w:val="15C152A2"/>
    <w:multiLevelType w:val="hybridMultilevel"/>
    <w:tmpl w:val="9D1EF07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379147E"/>
    <w:multiLevelType w:val="hybridMultilevel"/>
    <w:tmpl w:val="C6AC6B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72A2B7E"/>
    <w:multiLevelType w:val="hybridMultilevel"/>
    <w:tmpl w:val="9D8465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6C5F04"/>
    <w:multiLevelType w:val="hybridMultilevel"/>
    <w:tmpl w:val="E056F682"/>
    <w:lvl w:ilvl="0" w:tplc="9B1268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153F13"/>
    <w:multiLevelType w:val="hybridMultilevel"/>
    <w:tmpl w:val="F12476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AC7EF8"/>
    <w:multiLevelType w:val="hybridMultilevel"/>
    <w:tmpl w:val="66B8FA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nsid w:val="4DF168AA"/>
    <w:multiLevelType w:val="hybridMultilevel"/>
    <w:tmpl w:val="3488C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675209FF"/>
    <w:multiLevelType w:val="hybridMultilevel"/>
    <w:tmpl w:val="7AE2A96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C833ADE"/>
    <w:multiLevelType w:val="hybridMultilevel"/>
    <w:tmpl w:val="3C88BB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C8F08DB"/>
    <w:multiLevelType w:val="hybridMultilevel"/>
    <w:tmpl w:val="D528079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397756"/>
    <w:multiLevelType w:val="hybridMultilevel"/>
    <w:tmpl w:val="DB9CA6F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F7A5A18"/>
    <w:multiLevelType w:val="hybridMultilevel"/>
    <w:tmpl w:val="1CC62F4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8342528"/>
    <w:multiLevelType w:val="hybridMultilevel"/>
    <w:tmpl w:val="403A574E"/>
    <w:lvl w:ilvl="0" w:tplc="9B126854">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EC94637"/>
    <w:multiLevelType w:val="hybridMultilevel"/>
    <w:tmpl w:val="AC302752"/>
    <w:lvl w:ilvl="0" w:tplc="3F642D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16"/>
  </w:num>
  <w:num w:numId="3">
    <w:abstractNumId w:val="26"/>
  </w:num>
  <w:num w:numId="4">
    <w:abstractNumId w:val="14"/>
  </w:num>
  <w:num w:numId="5">
    <w:abstractNumId w:val="1"/>
  </w:num>
  <w:num w:numId="6">
    <w:abstractNumId w:val="15"/>
  </w:num>
  <w:num w:numId="7">
    <w:abstractNumId w:val="25"/>
  </w:num>
  <w:num w:numId="8">
    <w:abstractNumId w:val="27"/>
  </w:num>
  <w:num w:numId="9">
    <w:abstractNumId w:val="21"/>
  </w:num>
  <w:num w:numId="10">
    <w:abstractNumId w:val="9"/>
  </w:num>
  <w:num w:numId="11">
    <w:abstractNumId w:val="5"/>
  </w:num>
  <w:num w:numId="12">
    <w:abstractNumId w:val="13"/>
  </w:num>
  <w:num w:numId="13">
    <w:abstractNumId w:val="10"/>
  </w:num>
  <w:num w:numId="14">
    <w:abstractNumId w:val="8"/>
  </w:num>
  <w:num w:numId="15">
    <w:abstractNumId w:val="7"/>
  </w:num>
  <w:num w:numId="16">
    <w:abstractNumId w:val="2"/>
  </w:num>
  <w:num w:numId="17">
    <w:abstractNumId w:val="11"/>
  </w:num>
  <w:num w:numId="18">
    <w:abstractNumId w:val="3"/>
  </w:num>
  <w:num w:numId="19">
    <w:abstractNumId w:val="24"/>
  </w:num>
  <w:num w:numId="20">
    <w:abstractNumId w:val="4"/>
  </w:num>
  <w:num w:numId="21">
    <w:abstractNumId w:val="20"/>
  </w:num>
  <w:num w:numId="22">
    <w:abstractNumId w:val="6"/>
  </w:num>
  <w:num w:numId="23">
    <w:abstractNumId w:val="19"/>
  </w:num>
  <w:num w:numId="24">
    <w:abstractNumId w:val="17"/>
  </w:num>
  <w:num w:numId="25">
    <w:abstractNumId w:val="18"/>
  </w:num>
  <w:num w:numId="26">
    <w:abstractNumId w:val="22"/>
  </w:num>
  <w:num w:numId="27">
    <w:abstractNumId w:val="12"/>
  </w:num>
  <w:num w:numId="2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7"/>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06867"/>
    <w:rsid w:val="00007F63"/>
    <w:rsid w:val="000103E7"/>
    <w:rsid w:val="000119E6"/>
    <w:rsid w:val="00013FAD"/>
    <w:rsid w:val="000146A7"/>
    <w:rsid w:val="000149D7"/>
    <w:rsid w:val="00015844"/>
    <w:rsid w:val="00015C78"/>
    <w:rsid w:val="00017BA5"/>
    <w:rsid w:val="00021259"/>
    <w:rsid w:val="00021359"/>
    <w:rsid w:val="0002351A"/>
    <w:rsid w:val="000248B4"/>
    <w:rsid w:val="000248FC"/>
    <w:rsid w:val="0002660A"/>
    <w:rsid w:val="00026899"/>
    <w:rsid w:val="0002698B"/>
    <w:rsid w:val="00027585"/>
    <w:rsid w:val="00033DB9"/>
    <w:rsid w:val="000344BD"/>
    <w:rsid w:val="00035803"/>
    <w:rsid w:val="00035B5F"/>
    <w:rsid w:val="00035EF9"/>
    <w:rsid w:val="00037973"/>
    <w:rsid w:val="00040A63"/>
    <w:rsid w:val="0004105F"/>
    <w:rsid w:val="00041A58"/>
    <w:rsid w:val="000424DB"/>
    <w:rsid w:val="00042E6F"/>
    <w:rsid w:val="00043923"/>
    <w:rsid w:val="000439F7"/>
    <w:rsid w:val="00044CC7"/>
    <w:rsid w:val="0004506E"/>
    <w:rsid w:val="00046160"/>
    <w:rsid w:val="00047CF7"/>
    <w:rsid w:val="0005129F"/>
    <w:rsid w:val="00051971"/>
    <w:rsid w:val="000529DB"/>
    <w:rsid w:val="000542D7"/>
    <w:rsid w:val="000563ED"/>
    <w:rsid w:val="000571B0"/>
    <w:rsid w:val="00057DA8"/>
    <w:rsid w:val="00062DCF"/>
    <w:rsid w:val="000639F7"/>
    <w:rsid w:val="000647EA"/>
    <w:rsid w:val="00064857"/>
    <w:rsid w:val="000654F6"/>
    <w:rsid w:val="0007093A"/>
    <w:rsid w:val="0007205B"/>
    <w:rsid w:val="000720EB"/>
    <w:rsid w:val="0007298B"/>
    <w:rsid w:val="000755A8"/>
    <w:rsid w:val="0007644F"/>
    <w:rsid w:val="000764EE"/>
    <w:rsid w:val="0007660A"/>
    <w:rsid w:val="00076824"/>
    <w:rsid w:val="00076B12"/>
    <w:rsid w:val="000801E0"/>
    <w:rsid w:val="000804D4"/>
    <w:rsid w:val="00081181"/>
    <w:rsid w:val="0008122E"/>
    <w:rsid w:val="0008157B"/>
    <w:rsid w:val="00081B64"/>
    <w:rsid w:val="00082CAA"/>
    <w:rsid w:val="000831BF"/>
    <w:rsid w:val="00084128"/>
    <w:rsid w:val="00084609"/>
    <w:rsid w:val="000875C4"/>
    <w:rsid w:val="00087EC3"/>
    <w:rsid w:val="0009084A"/>
    <w:rsid w:val="000915A4"/>
    <w:rsid w:val="0009278C"/>
    <w:rsid w:val="00092939"/>
    <w:rsid w:val="00094DAE"/>
    <w:rsid w:val="000960D9"/>
    <w:rsid w:val="0009621A"/>
    <w:rsid w:val="00097209"/>
    <w:rsid w:val="00097368"/>
    <w:rsid w:val="0009777E"/>
    <w:rsid w:val="000A0410"/>
    <w:rsid w:val="000A10F7"/>
    <w:rsid w:val="000A204F"/>
    <w:rsid w:val="000A2A28"/>
    <w:rsid w:val="000A2D0A"/>
    <w:rsid w:val="000A3A4E"/>
    <w:rsid w:val="000A53F5"/>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39C2"/>
    <w:rsid w:val="000C5D4C"/>
    <w:rsid w:val="000C5D86"/>
    <w:rsid w:val="000C66D4"/>
    <w:rsid w:val="000C70C1"/>
    <w:rsid w:val="000C7FC7"/>
    <w:rsid w:val="000D18C5"/>
    <w:rsid w:val="000D1EF9"/>
    <w:rsid w:val="000D2BF9"/>
    <w:rsid w:val="000D370A"/>
    <w:rsid w:val="000D4F3D"/>
    <w:rsid w:val="000D4FA0"/>
    <w:rsid w:val="000D59AA"/>
    <w:rsid w:val="000D6D3B"/>
    <w:rsid w:val="000D722D"/>
    <w:rsid w:val="000E1125"/>
    <w:rsid w:val="000E1940"/>
    <w:rsid w:val="000E1993"/>
    <w:rsid w:val="000E2B12"/>
    <w:rsid w:val="000E3141"/>
    <w:rsid w:val="000E3B8A"/>
    <w:rsid w:val="000E4C9C"/>
    <w:rsid w:val="000E6AE2"/>
    <w:rsid w:val="000E742E"/>
    <w:rsid w:val="000F090A"/>
    <w:rsid w:val="000F0A7B"/>
    <w:rsid w:val="000F1BA2"/>
    <w:rsid w:val="000F451B"/>
    <w:rsid w:val="000F6F5E"/>
    <w:rsid w:val="00100030"/>
    <w:rsid w:val="001014E9"/>
    <w:rsid w:val="0010484A"/>
    <w:rsid w:val="00104C1F"/>
    <w:rsid w:val="00106BB7"/>
    <w:rsid w:val="001101FB"/>
    <w:rsid w:val="00111C96"/>
    <w:rsid w:val="00111CE0"/>
    <w:rsid w:val="00111DF0"/>
    <w:rsid w:val="0011334E"/>
    <w:rsid w:val="001135C5"/>
    <w:rsid w:val="001147C0"/>
    <w:rsid w:val="00114AAE"/>
    <w:rsid w:val="0011744D"/>
    <w:rsid w:val="0012086A"/>
    <w:rsid w:val="001253A3"/>
    <w:rsid w:val="00126145"/>
    <w:rsid w:val="00126205"/>
    <w:rsid w:val="0012673B"/>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53E"/>
    <w:rsid w:val="00150BAB"/>
    <w:rsid w:val="0015436B"/>
    <w:rsid w:val="00155054"/>
    <w:rsid w:val="0015657D"/>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7E6"/>
    <w:rsid w:val="00176AC2"/>
    <w:rsid w:val="00177F2B"/>
    <w:rsid w:val="001802FB"/>
    <w:rsid w:val="001806A8"/>
    <w:rsid w:val="00180939"/>
    <w:rsid w:val="00180983"/>
    <w:rsid w:val="00182A00"/>
    <w:rsid w:val="0018310D"/>
    <w:rsid w:val="00184214"/>
    <w:rsid w:val="00184452"/>
    <w:rsid w:val="0018615A"/>
    <w:rsid w:val="00187FEF"/>
    <w:rsid w:val="00190A8D"/>
    <w:rsid w:val="001912DF"/>
    <w:rsid w:val="00193077"/>
    <w:rsid w:val="001930BE"/>
    <w:rsid w:val="0019400F"/>
    <w:rsid w:val="00194752"/>
    <w:rsid w:val="0019547D"/>
    <w:rsid w:val="00195E1F"/>
    <w:rsid w:val="00196645"/>
    <w:rsid w:val="00197997"/>
    <w:rsid w:val="001A0C8F"/>
    <w:rsid w:val="001A36F7"/>
    <w:rsid w:val="001A384E"/>
    <w:rsid w:val="001A3C20"/>
    <w:rsid w:val="001A4015"/>
    <w:rsid w:val="001A51FF"/>
    <w:rsid w:val="001A6AFD"/>
    <w:rsid w:val="001A6EDC"/>
    <w:rsid w:val="001B12F3"/>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995"/>
    <w:rsid w:val="001E1C36"/>
    <w:rsid w:val="001E1E3C"/>
    <w:rsid w:val="001E347A"/>
    <w:rsid w:val="001E3D8C"/>
    <w:rsid w:val="001E43EF"/>
    <w:rsid w:val="001E44CD"/>
    <w:rsid w:val="001E6F40"/>
    <w:rsid w:val="001F0005"/>
    <w:rsid w:val="001F1C8D"/>
    <w:rsid w:val="001F33AC"/>
    <w:rsid w:val="001F3A31"/>
    <w:rsid w:val="001F3DF5"/>
    <w:rsid w:val="001F4346"/>
    <w:rsid w:val="001F5EDA"/>
    <w:rsid w:val="001F7E3A"/>
    <w:rsid w:val="00201FFE"/>
    <w:rsid w:val="00202C4B"/>
    <w:rsid w:val="00204080"/>
    <w:rsid w:val="00206380"/>
    <w:rsid w:val="00207FF6"/>
    <w:rsid w:val="00210004"/>
    <w:rsid w:val="0021293D"/>
    <w:rsid w:val="002132A0"/>
    <w:rsid w:val="002155FA"/>
    <w:rsid w:val="00216A12"/>
    <w:rsid w:val="00217059"/>
    <w:rsid w:val="002176DE"/>
    <w:rsid w:val="002209D7"/>
    <w:rsid w:val="00222656"/>
    <w:rsid w:val="0022388D"/>
    <w:rsid w:val="00223B64"/>
    <w:rsid w:val="002240E4"/>
    <w:rsid w:val="00224B70"/>
    <w:rsid w:val="0022582C"/>
    <w:rsid w:val="002273C3"/>
    <w:rsid w:val="0023029F"/>
    <w:rsid w:val="00231281"/>
    <w:rsid w:val="00231DC2"/>
    <w:rsid w:val="002333B7"/>
    <w:rsid w:val="002344F2"/>
    <w:rsid w:val="0023503D"/>
    <w:rsid w:val="002360CB"/>
    <w:rsid w:val="002368E4"/>
    <w:rsid w:val="00237482"/>
    <w:rsid w:val="002414D9"/>
    <w:rsid w:val="00241832"/>
    <w:rsid w:val="0024359E"/>
    <w:rsid w:val="0024367C"/>
    <w:rsid w:val="00244B63"/>
    <w:rsid w:val="00244D42"/>
    <w:rsid w:val="00245560"/>
    <w:rsid w:val="00246FFA"/>
    <w:rsid w:val="00247076"/>
    <w:rsid w:val="002471C0"/>
    <w:rsid w:val="0025124D"/>
    <w:rsid w:val="00252B94"/>
    <w:rsid w:val="00255E19"/>
    <w:rsid w:val="002563B4"/>
    <w:rsid w:val="00256C2E"/>
    <w:rsid w:val="00257233"/>
    <w:rsid w:val="00257318"/>
    <w:rsid w:val="0026058E"/>
    <w:rsid w:val="00260716"/>
    <w:rsid w:val="0026193E"/>
    <w:rsid w:val="00261A9C"/>
    <w:rsid w:val="00262518"/>
    <w:rsid w:val="00262C9D"/>
    <w:rsid w:val="0026319B"/>
    <w:rsid w:val="00265433"/>
    <w:rsid w:val="0026731F"/>
    <w:rsid w:val="00267D41"/>
    <w:rsid w:val="002700C4"/>
    <w:rsid w:val="00270A1C"/>
    <w:rsid w:val="00271ED8"/>
    <w:rsid w:val="00271FEE"/>
    <w:rsid w:val="00272572"/>
    <w:rsid w:val="002730ED"/>
    <w:rsid w:val="0027451C"/>
    <w:rsid w:val="00275BC1"/>
    <w:rsid w:val="0027635A"/>
    <w:rsid w:val="00276498"/>
    <w:rsid w:val="00280857"/>
    <w:rsid w:val="002814D6"/>
    <w:rsid w:val="00281718"/>
    <w:rsid w:val="00281A52"/>
    <w:rsid w:val="00281B15"/>
    <w:rsid w:val="0028219B"/>
    <w:rsid w:val="00283F01"/>
    <w:rsid w:val="002844B2"/>
    <w:rsid w:val="002855D0"/>
    <w:rsid w:val="0028673E"/>
    <w:rsid w:val="002867B2"/>
    <w:rsid w:val="00286A31"/>
    <w:rsid w:val="0028736E"/>
    <w:rsid w:val="00290E18"/>
    <w:rsid w:val="00291510"/>
    <w:rsid w:val="00291D54"/>
    <w:rsid w:val="00293D8A"/>
    <w:rsid w:val="0029413A"/>
    <w:rsid w:val="00294ECF"/>
    <w:rsid w:val="00295950"/>
    <w:rsid w:val="00296662"/>
    <w:rsid w:val="00296690"/>
    <w:rsid w:val="002967CE"/>
    <w:rsid w:val="00296890"/>
    <w:rsid w:val="00296D21"/>
    <w:rsid w:val="00297A88"/>
    <w:rsid w:val="002A0BCB"/>
    <w:rsid w:val="002A321E"/>
    <w:rsid w:val="002A651B"/>
    <w:rsid w:val="002B136A"/>
    <w:rsid w:val="002B1638"/>
    <w:rsid w:val="002B24A3"/>
    <w:rsid w:val="002B29FF"/>
    <w:rsid w:val="002B2BBC"/>
    <w:rsid w:val="002B351B"/>
    <w:rsid w:val="002B3B5C"/>
    <w:rsid w:val="002B3C48"/>
    <w:rsid w:val="002B434C"/>
    <w:rsid w:val="002B4588"/>
    <w:rsid w:val="002B4F1D"/>
    <w:rsid w:val="002B6D84"/>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7525"/>
    <w:rsid w:val="002E7663"/>
    <w:rsid w:val="002E7C9E"/>
    <w:rsid w:val="002F01CA"/>
    <w:rsid w:val="002F1163"/>
    <w:rsid w:val="002F2D00"/>
    <w:rsid w:val="002F3161"/>
    <w:rsid w:val="002F4528"/>
    <w:rsid w:val="002F50DB"/>
    <w:rsid w:val="002F5517"/>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71FD"/>
    <w:rsid w:val="003177B1"/>
    <w:rsid w:val="00321077"/>
    <w:rsid w:val="00321D07"/>
    <w:rsid w:val="00322EDB"/>
    <w:rsid w:val="003268BB"/>
    <w:rsid w:val="00330072"/>
    <w:rsid w:val="00330B4E"/>
    <w:rsid w:val="0033176D"/>
    <w:rsid w:val="00331858"/>
    <w:rsid w:val="00332CEC"/>
    <w:rsid w:val="0033380C"/>
    <w:rsid w:val="00333D6C"/>
    <w:rsid w:val="0033426F"/>
    <w:rsid w:val="00335B60"/>
    <w:rsid w:val="00335C89"/>
    <w:rsid w:val="00335E3D"/>
    <w:rsid w:val="00336046"/>
    <w:rsid w:val="003402E6"/>
    <w:rsid w:val="00340391"/>
    <w:rsid w:val="00340AAF"/>
    <w:rsid w:val="00341154"/>
    <w:rsid w:val="0034240D"/>
    <w:rsid w:val="003436BE"/>
    <w:rsid w:val="00345FC0"/>
    <w:rsid w:val="003469FC"/>
    <w:rsid w:val="003472E7"/>
    <w:rsid w:val="00347800"/>
    <w:rsid w:val="00347C14"/>
    <w:rsid w:val="00347CD6"/>
    <w:rsid w:val="003504B5"/>
    <w:rsid w:val="00351B3A"/>
    <w:rsid w:val="003546A6"/>
    <w:rsid w:val="00354915"/>
    <w:rsid w:val="00354E6F"/>
    <w:rsid w:val="00357465"/>
    <w:rsid w:val="003577BE"/>
    <w:rsid w:val="003577F5"/>
    <w:rsid w:val="003601A9"/>
    <w:rsid w:val="00360974"/>
    <w:rsid w:val="00362FCF"/>
    <w:rsid w:val="0036468F"/>
    <w:rsid w:val="003656BA"/>
    <w:rsid w:val="00366993"/>
    <w:rsid w:val="0037079D"/>
    <w:rsid w:val="00370894"/>
    <w:rsid w:val="00370E0A"/>
    <w:rsid w:val="00371876"/>
    <w:rsid w:val="00371DAE"/>
    <w:rsid w:val="0037293C"/>
    <w:rsid w:val="00372C00"/>
    <w:rsid w:val="003734F9"/>
    <w:rsid w:val="00375865"/>
    <w:rsid w:val="003764F0"/>
    <w:rsid w:val="00376C20"/>
    <w:rsid w:val="00377A1D"/>
    <w:rsid w:val="00381312"/>
    <w:rsid w:val="00381B8B"/>
    <w:rsid w:val="00382FAE"/>
    <w:rsid w:val="003832DC"/>
    <w:rsid w:val="00384541"/>
    <w:rsid w:val="00385C87"/>
    <w:rsid w:val="00386B90"/>
    <w:rsid w:val="00386F45"/>
    <w:rsid w:val="00387F14"/>
    <w:rsid w:val="0039090C"/>
    <w:rsid w:val="00391402"/>
    <w:rsid w:val="003918F4"/>
    <w:rsid w:val="00391F87"/>
    <w:rsid w:val="00393338"/>
    <w:rsid w:val="00394FC5"/>
    <w:rsid w:val="00396952"/>
    <w:rsid w:val="003A0737"/>
    <w:rsid w:val="003A150D"/>
    <w:rsid w:val="003A16A8"/>
    <w:rsid w:val="003A1A83"/>
    <w:rsid w:val="003A1B24"/>
    <w:rsid w:val="003A2A06"/>
    <w:rsid w:val="003A3ACC"/>
    <w:rsid w:val="003A4AAC"/>
    <w:rsid w:val="003A4C78"/>
    <w:rsid w:val="003A552B"/>
    <w:rsid w:val="003A5554"/>
    <w:rsid w:val="003A6CD0"/>
    <w:rsid w:val="003B1164"/>
    <w:rsid w:val="003B132E"/>
    <w:rsid w:val="003B139B"/>
    <w:rsid w:val="003B1738"/>
    <w:rsid w:val="003B3A50"/>
    <w:rsid w:val="003B3DBA"/>
    <w:rsid w:val="003B409D"/>
    <w:rsid w:val="003B448B"/>
    <w:rsid w:val="003B45C7"/>
    <w:rsid w:val="003B56A0"/>
    <w:rsid w:val="003B6027"/>
    <w:rsid w:val="003C046C"/>
    <w:rsid w:val="003C1C50"/>
    <w:rsid w:val="003C3E62"/>
    <w:rsid w:val="003C4558"/>
    <w:rsid w:val="003D01E0"/>
    <w:rsid w:val="003D03EC"/>
    <w:rsid w:val="003D0960"/>
    <w:rsid w:val="003D0EF8"/>
    <w:rsid w:val="003D1455"/>
    <w:rsid w:val="003D2840"/>
    <w:rsid w:val="003D2B72"/>
    <w:rsid w:val="003D3033"/>
    <w:rsid w:val="003D34F0"/>
    <w:rsid w:val="003D42C7"/>
    <w:rsid w:val="003D4964"/>
    <w:rsid w:val="003D6201"/>
    <w:rsid w:val="003D7765"/>
    <w:rsid w:val="003E1518"/>
    <w:rsid w:val="003E235E"/>
    <w:rsid w:val="003E3E67"/>
    <w:rsid w:val="003E42F6"/>
    <w:rsid w:val="003E431F"/>
    <w:rsid w:val="003E48E7"/>
    <w:rsid w:val="003E6A00"/>
    <w:rsid w:val="003E708E"/>
    <w:rsid w:val="003E7742"/>
    <w:rsid w:val="003E7C95"/>
    <w:rsid w:val="003E7D68"/>
    <w:rsid w:val="003F03DD"/>
    <w:rsid w:val="003F0EA6"/>
    <w:rsid w:val="003F1437"/>
    <w:rsid w:val="003F14B2"/>
    <w:rsid w:val="003F220A"/>
    <w:rsid w:val="003F2B9F"/>
    <w:rsid w:val="003F3115"/>
    <w:rsid w:val="003F3790"/>
    <w:rsid w:val="003F448B"/>
    <w:rsid w:val="003F58F6"/>
    <w:rsid w:val="003F5DC1"/>
    <w:rsid w:val="003F6316"/>
    <w:rsid w:val="0040061F"/>
    <w:rsid w:val="00401149"/>
    <w:rsid w:val="00402720"/>
    <w:rsid w:val="00402985"/>
    <w:rsid w:val="00403BAA"/>
    <w:rsid w:val="00406593"/>
    <w:rsid w:val="004069B2"/>
    <w:rsid w:val="00410408"/>
    <w:rsid w:val="00410724"/>
    <w:rsid w:val="00412655"/>
    <w:rsid w:val="00413229"/>
    <w:rsid w:val="00413EFF"/>
    <w:rsid w:val="00416232"/>
    <w:rsid w:val="00421BC3"/>
    <w:rsid w:val="004228A3"/>
    <w:rsid w:val="004229AC"/>
    <w:rsid w:val="00423D3B"/>
    <w:rsid w:val="00424172"/>
    <w:rsid w:val="004245A3"/>
    <w:rsid w:val="00424A48"/>
    <w:rsid w:val="00425170"/>
    <w:rsid w:val="004274EC"/>
    <w:rsid w:val="00427917"/>
    <w:rsid w:val="00427F2D"/>
    <w:rsid w:val="0043178A"/>
    <w:rsid w:val="0043216B"/>
    <w:rsid w:val="004330FC"/>
    <w:rsid w:val="00436238"/>
    <w:rsid w:val="004371F7"/>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52ED"/>
    <w:rsid w:val="00455976"/>
    <w:rsid w:val="00456668"/>
    <w:rsid w:val="00456AF3"/>
    <w:rsid w:val="00456BC4"/>
    <w:rsid w:val="004571DB"/>
    <w:rsid w:val="00457B85"/>
    <w:rsid w:val="0046088D"/>
    <w:rsid w:val="00460FF4"/>
    <w:rsid w:val="00462F02"/>
    <w:rsid w:val="0046335C"/>
    <w:rsid w:val="004659F4"/>
    <w:rsid w:val="00466EDC"/>
    <w:rsid w:val="00467368"/>
    <w:rsid w:val="00467D25"/>
    <w:rsid w:val="00467E77"/>
    <w:rsid w:val="00470697"/>
    <w:rsid w:val="00470FC6"/>
    <w:rsid w:val="00471B3A"/>
    <w:rsid w:val="00473BBD"/>
    <w:rsid w:val="0047403A"/>
    <w:rsid w:val="00474161"/>
    <w:rsid w:val="00474C36"/>
    <w:rsid w:val="004750D1"/>
    <w:rsid w:val="00475E38"/>
    <w:rsid w:val="00476644"/>
    <w:rsid w:val="00476F48"/>
    <w:rsid w:val="0048006F"/>
    <w:rsid w:val="00482BBB"/>
    <w:rsid w:val="00483BA3"/>
    <w:rsid w:val="00483F69"/>
    <w:rsid w:val="00485114"/>
    <w:rsid w:val="00485AE4"/>
    <w:rsid w:val="00486111"/>
    <w:rsid w:val="00486555"/>
    <w:rsid w:val="004865D0"/>
    <w:rsid w:val="0048767D"/>
    <w:rsid w:val="0049176F"/>
    <w:rsid w:val="00492D34"/>
    <w:rsid w:val="00492EA5"/>
    <w:rsid w:val="004931C8"/>
    <w:rsid w:val="00493247"/>
    <w:rsid w:val="004A0053"/>
    <w:rsid w:val="004A0BD2"/>
    <w:rsid w:val="004A2687"/>
    <w:rsid w:val="004A402F"/>
    <w:rsid w:val="004A5972"/>
    <w:rsid w:val="004A6761"/>
    <w:rsid w:val="004B2B05"/>
    <w:rsid w:val="004B2BBA"/>
    <w:rsid w:val="004B3425"/>
    <w:rsid w:val="004B6B21"/>
    <w:rsid w:val="004B70AD"/>
    <w:rsid w:val="004B71F4"/>
    <w:rsid w:val="004B76B6"/>
    <w:rsid w:val="004B7EA1"/>
    <w:rsid w:val="004C0B5E"/>
    <w:rsid w:val="004C16C3"/>
    <w:rsid w:val="004C16F8"/>
    <w:rsid w:val="004C3E66"/>
    <w:rsid w:val="004C4244"/>
    <w:rsid w:val="004C4B03"/>
    <w:rsid w:val="004C5B7D"/>
    <w:rsid w:val="004C6313"/>
    <w:rsid w:val="004C63EE"/>
    <w:rsid w:val="004C6825"/>
    <w:rsid w:val="004C69F0"/>
    <w:rsid w:val="004C70AC"/>
    <w:rsid w:val="004D05D8"/>
    <w:rsid w:val="004D0970"/>
    <w:rsid w:val="004D1073"/>
    <w:rsid w:val="004D1EE6"/>
    <w:rsid w:val="004D238B"/>
    <w:rsid w:val="004D2611"/>
    <w:rsid w:val="004D39A3"/>
    <w:rsid w:val="004D3FA5"/>
    <w:rsid w:val="004D640B"/>
    <w:rsid w:val="004D6EDD"/>
    <w:rsid w:val="004D7034"/>
    <w:rsid w:val="004D7FAA"/>
    <w:rsid w:val="004D7FAE"/>
    <w:rsid w:val="004E06BE"/>
    <w:rsid w:val="004E1F4F"/>
    <w:rsid w:val="004E3A45"/>
    <w:rsid w:val="004E3B7D"/>
    <w:rsid w:val="004E3E3E"/>
    <w:rsid w:val="004E4673"/>
    <w:rsid w:val="004E4C87"/>
    <w:rsid w:val="004E5219"/>
    <w:rsid w:val="004E5753"/>
    <w:rsid w:val="004E7FF5"/>
    <w:rsid w:val="004F10CA"/>
    <w:rsid w:val="004F1622"/>
    <w:rsid w:val="004F4675"/>
    <w:rsid w:val="004F4F79"/>
    <w:rsid w:val="004F557E"/>
    <w:rsid w:val="004F7762"/>
    <w:rsid w:val="004F7978"/>
    <w:rsid w:val="00501570"/>
    <w:rsid w:val="005017DA"/>
    <w:rsid w:val="005023B3"/>
    <w:rsid w:val="00503B40"/>
    <w:rsid w:val="0050411A"/>
    <w:rsid w:val="0050472D"/>
    <w:rsid w:val="00505C1E"/>
    <w:rsid w:val="0050619E"/>
    <w:rsid w:val="005069E2"/>
    <w:rsid w:val="00506B0D"/>
    <w:rsid w:val="00506BCB"/>
    <w:rsid w:val="00506DE6"/>
    <w:rsid w:val="00506E51"/>
    <w:rsid w:val="0051029C"/>
    <w:rsid w:val="00512400"/>
    <w:rsid w:val="005131DA"/>
    <w:rsid w:val="00513C0B"/>
    <w:rsid w:val="005146EB"/>
    <w:rsid w:val="00516764"/>
    <w:rsid w:val="0052138B"/>
    <w:rsid w:val="005214BE"/>
    <w:rsid w:val="005219AA"/>
    <w:rsid w:val="00522736"/>
    <w:rsid w:val="005235B4"/>
    <w:rsid w:val="00524565"/>
    <w:rsid w:val="00525585"/>
    <w:rsid w:val="0052657B"/>
    <w:rsid w:val="0052756E"/>
    <w:rsid w:val="005312B1"/>
    <w:rsid w:val="005315FE"/>
    <w:rsid w:val="00532CB1"/>
    <w:rsid w:val="005334C4"/>
    <w:rsid w:val="005344B3"/>
    <w:rsid w:val="00534869"/>
    <w:rsid w:val="00534D4B"/>
    <w:rsid w:val="00535052"/>
    <w:rsid w:val="0053586D"/>
    <w:rsid w:val="005360FA"/>
    <w:rsid w:val="005371D2"/>
    <w:rsid w:val="00537528"/>
    <w:rsid w:val="0054034E"/>
    <w:rsid w:val="00542ED7"/>
    <w:rsid w:val="00545A76"/>
    <w:rsid w:val="00545AAE"/>
    <w:rsid w:val="00547333"/>
    <w:rsid w:val="00547EF6"/>
    <w:rsid w:val="005500FC"/>
    <w:rsid w:val="005506C7"/>
    <w:rsid w:val="00550947"/>
    <w:rsid w:val="00550E39"/>
    <w:rsid w:val="005511F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57FC"/>
    <w:rsid w:val="00567054"/>
    <w:rsid w:val="00567183"/>
    <w:rsid w:val="00567294"/>
    <w:rsid w:val="00567A9A"/>
    <w:rsid w:val="00570240"/>
    <w:rsid w:val="00570FEC"/>
    <w:rsid w:val="005714C0"/>
    <w:rsid w:val="00571902"/>
    <w:rsid w:val="00571A8C"/>
    <w:rsid w:val="00572427"/>
    <w:rsid w:val="00572AEF"/>
    <w:rsid w:val="0057377D"/>
    <w:rsid w:val="00575D00"/>
    <w:rsid w:val="005763B9"/>
    <w:rsid w:val="00580518"/>
    <w:rsid w:val="00583964"/>
    <w:rsid w:val="00585DF6"/>
    <w:rsid w:val="00585E04"/>
    <w:rsid w:val="005910DD"/>
    <w:rsid w:val="005920BC"/>
    <w:rsid w:val="00592B66"/>
    <w:rsid w:val="005933CF"/>
    <w:rsid w:val="005940C1"/>
    <w:rsid w:val="0059566C"/>
    <w:rsid w:val="00595711"/>
    <w:rsid w:val="0059585E"/>
    <w:rsid w:val="0059786E"/>
    <w:rsid w:val="005A3156"/>
    <w:rsid w:val="005A4C06"/>
    <w:rsid w:val="005A53DF"/>
    <w:rsid w:val="005A6185"/>
    <w:rsid w:val="005A6C09"/>
    <w:rsid w:val="005B052E"/>
    <w:rsid w:val="005B0AC0"/>
    <w:rsid w:val="005B0B2E"/>
    <w:rsid w:val="005B127E"/>
    <w:rsid w:val="005B220B"/>
    <w:rsid w:val="005B2E19"/>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F1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175"/>
    <w:rsid w:val="00600492"/>
    <w:rsid w:val="00601081"/>
    <w:rsid w:val="006012C6"/>
    <w:rsid w:val="0060145D"/>
    <w:rsid w:val="00603239"/>
    <w:rsid w:val="0060359F"/>
    <w:rsid w:val="0060466A"/>
    <w:rsid w:val="0060473D"/>
    <w:rsid w:val="006053DC"/>
    <w:rsid w:val="00605AF2"/>
    <w:rsid w:val="00607118"/>
    <w:rsid w:val="00607A61"/>
    <w:rsid w:val="0061106F"/>
    <w:rsid w:val="00612552"/>
    <w:rsid w:val="006127D4"/>
    <w:rsid w:val="00614547"/>
    <w:rsid w:val="00614D4B"/>
    <w:rsid w:val="006169DE"/>
    <w:rsid w:val="00616DFB"/>
    <w:rsid w:val="00617630"/>
    <w:rsid w:val="00617B27"/>
    <w:rsid w:val="00620346"/>
    <w:rsid w:val="0062074A"/>
    <w:rsid w:val="00622516"/>
    <w:rsid w:val="00622C68"/>
    <w:rsid w:val="00623125"/>
    <w:rsid w:val="0062321A"/>
    <w:rsid w:val="006241EE"/>
    <w:rsid w:val="00625C8F"/>
    <w:rsid w:val="00627ACD"/>
    <w:rsid w:val="00630383"/>
    <w:rsid w:val="00630B29"/>
    <w:rsid w:val="006316B3"/>
    <w:rsid w:val="00633DA7"/>
    <w:rsid w:val="00634F89"/>
    <w:rsid w:val="006357BD"/>
    <w:rsid w:val="006358DF"/>
    <w:rsid w:val="00636AD9"/>
    <w:rsid w:val="006375FB"/>
    <w:rsid w:val="00640801"/>
    <w:rsid w:val="006408DC"/>
    <w:rsid w:val="006413AD"/>
    <w:rsid w:val="006422C6"/>
    <w:rsid w:val="00643A7A"/>
    <w:rsid w:val="006440DD"/>
    <w:rsid w:val="00644DB0"/>
    <w:rsid w:val="0064545A"/>
    <w:rsid w:val="00647D0B"/>
    <w:rsid w:val="006503F8"/>
    <w:rsid w:val="00650D0F"/>
    <w:rsid w:val="00651856"/>
    <w:rsid w:val="006521E7"/>
    <w:rsid w:val="006521F2"/>
    <w:rsid w:val="00652646"/>
    <w:rsid w:val="00653F9C"/>
    <w:rsid w:val="00654874"/>
    <w:rsid w:val="0065506A"/>
    <w:rsid w:val="0065579F"/>
    <w:rsid w:val="00656275"/>
    <w:rsid w:val="0065725C"/>
    <w:rsid w:val="00666BC6"/>
    <w:rsid w:val="0066737C"/>
    <w:rsid w:val="00667AEB"/>
    <w:rsid w:val="00667D09"/>
    <w:rsid w:val="00670351"/>
    <w:rsid w:val="006706AA"/>
    <w:rsid w:val="006718B7"/>
    <w:rsid w:val="00672632"/>
    <w:rsid w:val="00672A16"/>
    <w:rsid w:val="00673154"/>
    <w:rsid w:val="00673A1F"/>
    <w:rsid w:val="006746B2"/>
    <w:rsid w:val="0067540D"/>
    <w:rsid w:val="00676653"/>
    <w:rsid w:val="00676B15"/>
    <w:rsid w:val="00680EC8"/>
    <w:rsid w:val="006818CD"/>
    <w:rsid w:val="0068365D"/>
    <w:rsid w:val="0068430C"/>
    <w:rsid w:val="00685237"/>
    <w:rsid w:val="006867C4"/>
    <w:rsid w:val="00690863"/>
    <w:rsid w:val="00690BB8"/>
    <w:rsid w:val="00690C33"/>
    <w:rsid w:val="0069144C"/>
    <w:rsid w:val="0069161A"/>
    <w:rsid w:val="0069189C"/>
    <w:rsid w:val="00691E28"/>
    <w:rsid w:val="006923EF"/>
    <w:rsid w:val="006954BD"/>
    <w:rsid w:val="006966CF"/>
    <w:rsid w:val="0069762F"/>
    <w:rsid w:val="006978B2"/>
    <w:rsid w:val="00697DD7"/>
    <w:rsid w:val="006A0BB0"/>
    <w:rsid w:val="006A0E75"/>
    <w:rsid w:val="006A451F"/>
    <w:rsid w:val="006A45EC"/>
    <w:rsid w:val="006A67C2"/>
    <w:rsid w:val="006A6A31"/>
    <w:rsid w:val="006A6BFD"/>
    <w:rsid w:val="006B0BCD"/>
    <w:rsid w:val="006B0CBE"/>
    <w:rsid w:val="006B0D95"/>
    <w:rsid w:val="006B1969"/>
    <w:rsid w:val="006B2F1E"/>
    <w:rsid w:val="006B3752"/>
    <w:rsid w:val="006B3DD7"/>
    <w:rsid w:val="006B48F1"/>
    <w:rsid w:val="006B726D"/>
    <w:rsid w:val="006C0AAF"/>
    <w:rsid w:val="006C181A"/>
    <w:rsid w:val="006C200E"/>
    <w:rsid w:val="006C2D21"/>
    <w:rsid w:val="006C4163"/>
    <w:rsid w:val="006C60A2"/>
    <w:rsid w:val="006C6193"/>
    <w:rsid w:val="006C6DC4"/>
    <w:rsid w:val="006D1475"/>
    <w:rsid w:val="006D157F"/>
    <w:rsid w:val="006D2A31"/>
    <w:rsid w:val="006D2EEC"/>
    <w:rsid w:val="006D3223"/>
    <w:rsid w:val="006D4BBE"/>
    <w:rsid w:val="006D5129"/>
    <w:rsid w:val="006D5430"/>
    <w:rsid w:val="006D63EF"/>
    <w:rsid w:val="006D71AC"/>
    <w:rsid w:val="006D7CA8"/>
    <w:rsid w:val="006E1EE7"/>
    <w:rsid w:val="006E1FEC"/>
    <w:rsid w:val="006E269F"/>
    <w:rsid w:val="006E2FE4"/>
    <w:rsid w:val="006E36C6"/>
    <w:rsid w:val="006E3B73"/>
    <w:rsid w:val="006E4CAF"/>
    <w:rsid w:val="006E7570"/>
    <w:rsid w:val="006F12EE"/>
    <w:rsid w:val="006F15B2"/>
    <w:rsid w:val="006F1DE8"/>
    <w:rsid w:val="006F2252"/>
    <w:rsid w:val="006F259F"/>
    <w:rsid w:val="006F3D72"/>
    <w:rsid w:val="006F3FB1"/>
    <w:rsid w:val="006F4B94"/>
    <w:rsid w:val="006F511B"/>
    <w:rsid w:val="006F6130"/>
    <w:rsid w:val="006F6B71"/>
    <w:rsid w:val="006F6C14"/>
    <w:rsid w:val="006F6CFF"/>
    <w:rsid w:val="006F6EB8"/>
    <w:rsid w:val="006F72DD"/>
    <w:rsid w:val="00700CDD"/>
    <w:rsid w:val="00701E29"/>
    <w:rsid w:val="0070393B"/>
    <w:rsid w:val="00704BC7"/>
    <w:rsid w:val="007051AF"/>
    <w:rsid w:val="00705C89"/>
    <w:rsid w:val="00705E84"/>
    <w:rsid w:val="00705FA1"/>
    <w:rsid w:val="00707E83"/>
    <w:rsid w:val="00710FFB"/>
    <w:rsid w:val="007116B3"/>
    <w:rsid w:val="00711D1C"/>
    <w:rsid w:val="00711E45"/>
    <w:rsid w:val="00711F8D"/>
    <w:rsid w:val="00713731"/>
    <w:rsid w:val="007150F3"/>
    <w:rsid w:val="007165BE"/>
    <w:rsid w:val="007200FA"/>
    <w:rsid w:val="00721635"/>
    <w:rsid w:val="00723530"/>
    <w:rsid w:val="007258A0"/>
    <w:rsid w:val="00725CC4"/>
    <w:rsid w:val="00725FD8"/>
    <w:rsid w:val="00726958"/>
    <w:rsid w:val="00727D4D"/>
    <w:rsid w:val="00730980"/>
    <w:rsid w:val="00731322"/>
    <w:rsid w:val="00731E30"/>
    <w:rsid w:val="00732033"/>
    <w:rsid w:val="0073217A"/>
    <w:rsid w:val="00734DF0"/>
    <w:rsid w:val="00736CDD"/>
    <w:rsid w:val="00736FEF"/>
    <w:rsid w:val="00737516"/>
    <w:rsid w:val="00741230"/>
    <w:rsid w:val="00741381"/>
    <w:rsid w:val="0074310F"/>
    <w:rsid w:val="00743261"/>
    <w:rsid w:val="007436B8"/>
    <w:rsid w:val="00743B0A"/>
    <w:rsid w:val="00743EC8"/>
    <w:rsid w:val="00744D77"/>
    <w:rsid w:val="0074502E"/>
    <w:rsid w:val="00745C1D"/>
    <w:rsid w:val="00746674"/>
    <w:rsid w:val="007517C3"/>
    <w:rsid w:val="00751F23"/>
    <w:rsid w:val="00752549"/>
    <w:rsid w:val="007566B3"/>
    <w:rsid w:val="007573D2"/>
    <w:rsid w:val="00757741"/>
    <w:rsid w:val="007577AC"/>
    <w:rsid w:val="00760036"/>
    <w:rsid w:val="00760C49"/>
    <w:rsid w:val="007621D5"/>
    <w:rsid w:val="007626A2"/>
    <w:rsid w:val="00764069"/>
    <w:rsid w:val="007651F0"/>
    <w:rsid w:val="00765D32"/>
    <w:rsid w:val="00765F5E"/>
    <w:rsid w:val="00766F9C"/>
    <w:rsid w:val="007705A1"/>
    <w:rsid w:val="00770F43"/>
    <w:rsid w:val="00771468"/>
    <w:rsid w:val="007719AC"/>
    <w:rsid w:val="0077202D"/>
    <w:rsid w:val="00772393"/>
    <w:rsid w:val="00773686"/>
    <w:rsid w:val="00774A5F"/>
    <w:rsid w:val="00776AD0"/>
    <w:rsid w:val="007824FF"/>
    <w:rsid w:val="00782F79"/>
    <w:rsid w:val="007832D8"/>
    <w:rsid w:val="0078582B"/>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918"/>
    <w:rsid w:val="007A2A69"/>
    <w:rsid w:val="007A3BED"/>
    <w:rsid w:val="007A627F"/>
    <w:rsid w:val="007A6821"/>
    <w:rsid w:val="007B055F"/>
    <w:rsid w:val="007B0BAC"/>
    <w:rsid w:val="007B118F"/>
    <w:rsid w:val="007B13C6"/>
    <w:rsid w:val="007B312F"/>
    <w:rsid w:val="007B3EE9"/>
    <w:rsid w:val="007B4B41"/>
    <w:rsid w:val="007B6028"/>
    <w:rsid w:val="007C0BA7"/>
    <w:rsid w:val="007C1244"/>
    <w:rsid w:val="007C1A92"/>
    <w:rsid w:val="007C33E4"/>
    <w:rsid w:val="007C41B3"/>
    <w:rsid w:val="007C44F4"/>
    <w:rsid w:val="007C4841"/>
    <w:rsid w:val="007C5C75"/>
    <w:rsid w:val="007C624E"/>
    <w:rsid w:val="007C6BFB"/>
    <w:rsid w:val="007C74A5"/>
    <w:rsid w:val="007C7AC0"/>
    <w:rsid w:val="007C7C2F"/>
    <w:rsid w:val="007D0E38"/>
    <w:rsid w:val="007D1120"/>
    <w:rsid w:val="007D2587"/>
    <w:rsid w:val="007D2DC4"/>
    <w:rsid w:val="007D34C8"/>
    <w:rsid w:val="007D36F2"/>
    <w:rsid w:val="007D5A25"/>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F25C2"/>
    <w:rsid w:val="007F2DE6"/>
    <w:rsid w:val="007F3DA7"/>
    <w:rsid w:val="007F4203"/>
    <w:rsid w:val="007F4290"/>
    <w:rsid w:val="007F502E"/>
    <w:rsid w:val="007F65F6"/>
    <w:rsid w:val="007F6A42"/>
    <w:rsid w:val="007F7A9A"/>
    <w:rsid w:val="008013CA"/>
    <w:rsid w:val="00802E86"/>
    <w:rsid w:val="008056CF"/>
    <w:rsid w:val="00806C7C"/>
    <w:rsid w:val="0080728E"/>
    <w:rsid w:val="00811498"/>
    <w:rsid w:val="00811CC1"/>
    <w:rsid w:val="00812EF1"/>
    <w:rsid w:val="00814945"/>
    <w:rsid w:val="00814985"/>
    <w:rsid w:val="008155A0"/>
    <w:rsid w:val="008160BF"/>
    <w:rsid w:val="008168D2"/>
    <w:rsid w:val="00816F96"/>
    <w:rsid w:val="008175D4"/>
    <w:rsid w:val="008205B0"/>
    <w:rsid w:val="008224B3"/>
    <w:rsid w:val="00822C19"/>
    <w:rsid w:val="00823AF8"/>
    <w:rsid w:val="00832ADC"/>
    <w:rsid w:val="008336C2"/>
    <w:rsid w:val="008343F2"/>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5010B"/>
    <w:rsid w:val="008505B6"/>
    <w:rsid w:val="00850AD1"/>
    <w:rsid w:val="00851A3E"/>
    <w:rsid w:val="00851DDC"/>
    <w:rsid w:val="00852259"/>
    <w:rsid w:val="008525EB"/>
    <w:rsid w:val="008529ED"/>
    <w:rsid w:val="00853419"/>
    <w:rsid w:val="0085379C"/>
    <w:rsid w:val="00853E87"/>
    <w:rsid w:val="00855CBD"/>
    <w:rsid w:val="00856F99"/>
    <w:rsid w:val="00857625"/>
    <w:rsid w:val="00857E3C"/>
    <w:rsid w:val="00860FE6"/>
    <w:rsid w:val="008636BD"/>
    <w:rsid w:val="00864683"/>
    <w:rsid w:val="00864D17"/>
    <w:rsid w:val="00864E90"/>
    <w:rsid w:val="008719DB"/>
    <w:rsid w:val="00872250"/>
    <w:rsid w:val="008727F2"/>
    <w:rsid w:val="008731B8"/>
    <w:rsid w:val="008734D8"/>
    <w:rsid w:val="00873553"/>
    <w:rsid w:val="0087381D"/>
    <w:rsid w:val="00873D16"/>
    <w:rsid w:val="00875049"/>
    <w:rsid w:val="00875CB9"/>
    <w:rsid w:val="00875F0E"/>
    <w:rsid w:val="00880F6C"/>
    <w:rsid w:val="00881C29"/>
    <w:rsid w:val="00882007"/>
    <w:rsid w:val="008855E2"/>
    <w:rsid w:val="00886521"/>
    <w:rsid w:val="00886648"/>
    <w:rsid w:val="00887886"/>
    <w:rsid w:val="00892A60"/>
    <w:rsid w:val="008937A3"/>
    <w:rsid w:val="008943A1"/>
    <w:rsid w:val="00894705"/>
    <w:rsid w:val="0089509A"/>
    <w:rsid w:val="00895C60"/>
    <w:rsid w:val="00897C1C"/>
    <w:rsid w:val="008A1E93"/>
    <w:rsid w:val="008A2A33"/>
    <w:rsid w:val="008A2DC4"/>
    <w:rsid w:val="008A4BCD"/>
    <w:rsid w:val="008A4FE1"/>
    <w:rsid w:val="008A5E28"/>
    <w:rsid w:val="008A64DE"/>
    <w:rsid w:val="008A6AF8"/>
    <w:rsid w:val="008B394C"/>
    <w:rsid w:val="008B3CA8"/>
    <w:rsid w:val="008B4198"/>
    <w:rsid w:val="008B4296"/>
    <w:rsid w:val="008B4609"/>
    <w:rsid w:val="008B50B6"/>
    <w:rsid w:val="008B58C4"/>
    <w:rsid w:val="008B7012"/>
    <w:rsid w:val="008B725C"/>
    <w:rsid w:val="008B7C30"/>
    <w:rsid w:val="008C1D6D"/>
    <w:rsid w:val="008C2184"/>
    <w:rsid w:val="008C3C8F"/>
    <w:rsid w:val="008C3F98"/>
    <w:rsid w:val="008D170A"/>
    <w:rsid w:val="008D1DAC"/>
    <w:rsid w:val="008D23AF"/>
    <w:rsid w:val="008D32BF"/>
    <w:rsid w:val="008D3A05"/>
    <w:rsid w:val="008D4409"/>
    <w:rsid w:val="008D681A"/>
    <w:rsid w:val="008D6B1A"/>
    <w:rsid w:val="008D6D38"/>
    <w:rsid w:val="008D7383"/>
    <w:rsid w:val="008D789C"/>
    <w:rsid w:val="008E0617"/>
    <w:rsid w:val="008E0C64"/>
    <w:rsid w:val="008E0CF7"/>
    <w:rsid w:val="008E1801"/>
    <w:rsid w:val="008E4B64"/>
    <w:rsid w:val="008E5313"/>
    <w:rsid w:val="008E5B71"/>
    <w:rsid w:val="008E646E"/>
    <w:rsid w:val="008E705E"/>
    <w:rsid w:val="008F031C"/>
    <w:rsid w:val="008F0C94"/>
    <w:rsid w:val="008F1843"/>
    <w:rsid w:val="008F2453"/>
    <w:rsid w:val="008F252E"/>
    <w:rsid w:val="008F34E9"/>
    <w:rsid w:val="00901D0C"/>
    <w:rsid w:val="00902740"/>
    <w:rsid w:val="00902833"/>
    <w:rsid w:val="00902C4E"/>
    <w:rsid w:val="009032D6"/>
    <w:rsid w:val="009039E2"/>
    <w:rsid w:val="00904B7E"/>
    <w:rsid w:val="0090522D"/>
    <w:rsid w:val="00905D5B"/>
    <w:rsid w:val="00906BB5"/>
    <w:rsid w:val="0091196A"/>
    <w:rsid w:val="00911DC9"/>
    <w:rsid w:val="009123FF"/>
    <w:rsid w:val="00912D8F"/>
    <w:rsid w:val="0091587B"/>
    <w:rsid w:val="009163FB"/>
    <w:rsid w:val="009164CD"/>
    <w:rsid w:val="00917271"/>
    <w:rsid w:val="00921203"/>
    <w:rsid w:val="00922A9F"/>
    <w:rsid w:val="00923EDA"/>
    <w:rsid w:val="00923FEC"/>
    <w:rsid w:val="00925478"/>
    <w:rsid w:val="009256F4"/>
    <w:rsid w:val="00925A8F"/>
    <w:rsid w:val="00925D8E"/>
    <w:rsid w:val="009269F5"/>
    <w:rsid w:val="00927974"/>
    <w:rsid w:val="00930CAD"/>
    <w:rsid w:val="00931BE7"/>
    <w:rsid w:val="0093324D"/>
    <w:rsid w:val="009400CF"/>
    <w:rsid w:val="00940533"/>
    <w:rsid w:val="00940ED4"/>
    <w:rsid w:val="00941097"/>
    <w:rsid w:val="009416B4"/>
    <w:rsid w:val="00942498"/>
    <w:rsid w:val="00942B78"/>
    <w:rsid w:val="009432FE"/>
    <w:rsid w:val="009438F8"/>
    <w:rsid w:val="00944414"/>
    <w:rsid w:val="009453A8"/>
    <w:rsid w:val="0094691D"/>
    <w:rsid w:val="00952459"/>
    <w:rsid w:val="00953948"/>
    <w:rsid w:val="00953CF1"/>
    <w:rsid w:val="00954F42"/>
    <w:rsid w:val="00957172"/>
    <w:rsid w:val="009578D1"/>
    <w:rsid w:val="00957A33"/>
    <w:rsid w:val="00957B43"/>
    <w:rsid w:val="0096003B"/>
    <w:rsid w:val="0096081E"/>
    <w:rsid w:val="0096137E"/>
    <w:rsid w:val="009615E8"/>
    <w:rsid w:val="00961E92"/>
    <w:rsid w:val="00962455"/>
    <w:rsid w:val="009644D2"/>
    <w:rsid w:val="009647C5"/>
    <w:rsid w:val="0096604F"/>
    <w:rsid w:val="00966280"/>
    <w:rsid w:val="009663C5"/>
    <w:rsid w:val="009663D9"/>
    <w:rsid w:val="009700D1"/>
    <w:rsid w:val="009704A1"/>
    <w:rsid w:val="00971DDC"/>
    <w:rsid w:val="0097399E"/>
    <w:rsid w:val="009739F5"/>
    <w:rsid w:val="009750EE"/>
    <w:rsid w:val="00975146"/>
    <w:rsid w:val="009755AD"/>
    <w:rsid w:val="009757E0"/>
    <w:rsid w:val="0097718E"/>
    <w:rsid w:val="00977E6D"/>
    <w:rsid w:val="009800B6"/>
    <w:rsid w:val="009843F2"/>
    <w:rsid w:val="009848E3"/>
    <w:rsid w:val="0098536E"/>
    <w:rsid w:val="00985DB7"/>
    <w:rsid w:val="00986B3C"/>
    <w:rsid w:val="00986D44"/>
    <w:rsid w:val="009903A8"/>
    <w:rsid w:val="00990D43"/>
    <w:rsid w:val="00991070"/>
    <w:rsid w:val="009918DE"/>
    <w:rsid w:val="00991C84"/>
    <w:rsid w:val="00992DCD"/>
    <w:rsid w:val="00994702"/>
    <w:rsid w:val="00996E62"/>
    <w:rsid w:val="00997875"/>
    <w:rsid w:val="009978BB"/>
    <w:rsid w:val="00997D39"/>
    <w:rsid w:val="00997FD5"/>
    <w:rsid w:val="009A0504"/>
    <w:rsid w:val="009A1CA8"/>
    <w:rsid w:val="009A2CA9"/>
    <w:rsid w:val="009A3428"/>
    <w:rsid w:val="009A4E12"/>
    <w:rsid w:val="009A5082"/>
    <w:rsid w:val="009A618E"/>
    <w:rsid w:val="009B06F4"/>
    <w:rsid w:val="009B11B9"/>
    <w:rsid w:val="009B155B"/>
    <w:rsid w:val="009B17E1"/>
    <w:rsid w:val="009B183F"/>
    <w:rsid w:val="009B1F5B"/>
    <w:rsid w:val="009B3BA9"/>
    <w:rsid w:val="009B3DB8"/>
    <w:rsid w:val="009B4769"/>
    <w:rsid w:val="009C0634"/>
    <w:rsid w:val="009C14A3"/>
    <w:rsid w:val="009C2086"/>
    <w:rsid w:val="009C3006"/>
    <w:rsid w:val="009C6438"/>
    <w:rsid w:val="009C6654"/>
    <w:rsid w:val="009C74B5"/>
    <w:rsid w:val="009C7EEF"/>
    <w:rsid w:val="009D159F"/>
    <w:rsid w:val="009D1912"/>
    <w:rsid w:val="009D1A92"/>
    <w:rsid w:val="009D2A16"/>
    <w:rsid w:val="009D2CDF"/>
    <w:rsid w:val="009D2D4B"/>
    <w:rsid w:val="009D344B"/>
    <w:rsid w:val="009D6952"/>
    <w:rsid w:val="009E068F"/>
    <w:rsid w:val="009E14B1"/>
    <w:rsid w:val="009E1B89"/>
    <w:rsid w:val="009E217B"/>
    <w:rsid w:val="009E227F"/>
    <w:rsid w:val="009E3971"/>
    <w:rsid w:val="009E43AF"/>
    <w:rsid w:val="009E47B7"/>
    <w:rsid w:val="009E58C2"/>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3D3F"/>
    <w:rsid w:val="00A047F9"/>
    <w:rsid w:val="00A049AC"/>
    <w:rsid w:val="00A04BEB"/>
    <w:rsid w:val="00A04DE2"/>
    <w:rsid w:val="00A054F6"/>
    <w:rsid w:val="00A05D90"/>
    <w:rsid w:val="00A07A65"/>
    <w:rsid w:val="00A07E9D"/>
    <w:rsid w:val="00A1110B"/>
    <w:rsid w:val="00A11A20"/>
    <w:rsid w:val="00A11DFB"/>
    <w:rsid w:val="00A11F1E"/>
    <w:rsid w:val="00A12B8D"/>
    <w:rsid w:val="00A12DEC"/>
    <w:rsid w:val="00A13D0E"/>
    <w:rsid w:val="00A14BA5"/>
    <w:rsid w:val="00A15C80"/>
    <w:rsid w:val="00A15DA4"/>
    <w:rsid w:val="00A20607"/>
    <w:rsid w:val="00A20D0F"/>
    <w:rsid w:val="00A21174"/>
    <w:rsid w:val="00A22151"/>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545F"/>
    <w:rsid w:val="00A421DA"/>
    <w:rsid w:val="00A42773"/>
    <w:rsid w:val="00A439CB"/>
    <w:rsid w:val="00A4449B"/>
    <w:rsid w:val="00A44BE1"/>
    <w:rsid w:val="00A44D99"/>
    <w:rsid w:val="00A4500D"/>
    <w:rsid w:val="00A473D6"/>
    <w:rsid w:val="00A51A9E"/>
    <w:rsid w:val="00A51EEE"/>
    <w:rsid w:val="00A52649"/>
    <w:rsid w:val="00A53C99"/>
    <w:rsid w:val="00A542B8"/>
    <w:rsid w:val="00A54719"/>
    <w:rsid w:val="00A54E83"/>
    <w:rsid w:val="00A602F2"/>
    <w:rsid w:val="00A60995"/>
    <w:rsid w:val="00A612B9"/>
    <w:rsid w:val="00A62879"/>
    <w:rsid w:val="00A63B4C"/>
    <w:rsid w:val="00A6549F"/>
    <w:rsid w:val="00A66090"/>
    <w:rsid w:val="00A66B14"/>
    <w:rsid w:val="00A66CF8"/>
    <w:rsid w:val="00A70A9A"/>
    <w:rsid w:val="00A7267E"/>
    <w:rsid w:val="00A727DA"/>
    <w:rsid w:val="00A7488B"/>
    <w:rsid w:val="00A7493E"/>
    <w:rsid w:val="00A74F48"/>
    <w:rsid w:val="00A81A3A"/>
    <w:rsid w:val="00A82E50"/>
    <w:rsid w:val="00A83C75"/>
    <w:rsid w:val="00A83E6C"/>
    <w:rsid w:val="00A84147"/>
    <w:rsid w:val="00A84984"/>
    <w:rsid w:val="00A84D8D"/>
    <w:rsid w:val="00A854F8"/>
    <w:rsid w:val="00A900AE"/>
    <w:rsid w:val="00A91C2F"/>
    <w:rsid w:val="00A93140"/>
    <w:rsid w:val="00A9330E"/>
    <w:rsid w:val="00A93FD6"/>
    <w:rsid w:val="00A9447A"/>
    <w:rsid w:val="00A95040"/>
    <w:rsid w:val="00A95088"/>
    <w:rsid w:val="00A9537C"/>
    <w:rsid w:val="00A957EB"/>
    <w:rsid w:val="00A960AC"/>
    <w:rsid w:val="00A96D45"/>
    <w:rsid w:val="00AA0692"/>
    <w:rsid w:val="00AA3298"/>
    <w:rsid w:val="00AA41AA"/>
    <w:rsid w:val="00AA41D8"/>
    <w:rsid w:val="00AA461D"/>
    <w:rsid w:val="00AA508F"/>
    <w:rsid w:val="00AA5D0F"/>
    <w:rsid w:val="00AA60E2"/>
    <w:rsid w:val="00AA6892"/>
    <w:rsid w:val="00AA6C76"/>
    <w:rsid w:val="00AA7921"/>
    <w:rsid w:val="00AB049C"/>
    <w:rsid w:val="00AB1D7B"/>
    <w:rsid w:val="00AB1EA3"/>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D021E"/>
    <w:rsid w:val="00AD048E"/>
    <w:rsid w:val="00AD0CA9"/>
    <w:rsid w:val="00AD16D6"/>
    <w:rsid w:val="00AD2407"/>
    <w:rsid w:val="00AD265B"/>
    <w:rsid w:val="00AD3AC9"/>
    <w:rsid w:val="00AD48D4"/>
    <w:rsid w:val="00AD4DB6"/>
    <w:rsid w:val="00AD58BD"/>
    <w:rsid w:val="00AD62D8"/>
    <w:rsid w:val="00AD6E05"/>
    <w:rsid w:val="00AD7A4A"/>
    <w:rsid w:val="00AE017E"/>
    <w:rsid w:val="00AE49C2"/>
    <w:rsid w:val="00AE5033"/>
    <w:rsid w:val="00AE5146"/>
    <w:rsid w:val="00AE55C5"/>
    <w:rsid w:val="00AE5A4F"/>
    <w:rsid w:val="00AE7740"/>
    <w:rsid w:val="00AE7B16"/>
    <w:rsid w:val="00AE7D20"/>
    <w:rsid w:val="00AF0B65"/>
    <w:rsid w:val="00AF0F18"/>
    <w:rsid w:val="00AF1043"/>
    <w:rsid w:val="00AF1F9A"/>
    <w:rsid w:val="00AF2510"/>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4DB6"/>
    <w:rsid w:val="00B1531E"/>
    <w:rsid w:val="00B15903"/>
    <w:rsid w:val="00B166C8"/>
    <w:rsid w:val="00B2184A"/>
    <w:rsid w:val="00B230AB"/>
    <w:rsid w:val="00B23604"/>
    <w:rsid w:val="00B236B2"/>
    <w:rsid w:val="00B255C7"/>
    <w:rsid w:val="00B2566A"/>
    <w:rsid w:val="00B26E87"/>
    <w:rsid w:val="00B3055E"/>
    <w:rsid w:val="00B30EB8"/>
    <w:rsid w:val="00B3226F"/>
    <w:rsid w:val="00B33A57"/>
    <w:rsid w:val="00B33F64"/>
    <w:rsid w:val="00B35581"/>
    <w:rsid w:val="00B364FB"/>
    <w:rsid w:val="00B409FA"/>
    <w:rsid w:val="00B41694"/>
    <w:rsid w:val="00B425D5"/>
    <w:rsid w:val="00B427B9"/>
    <w:rsid w:val="00B42928"/>
    <w:rsid w:val="00B43371"/>
    <w:rsid w:val="00B44CA2"/>
    <w:rsid w:val="00B454AE"/>
    <w:rsid w:val="00B47CA1"/>
    <w:rsid w:val="00B50CF0"/>
    <w:rsid w:val="00B512D6"/>
    <w:rsid w:val="00B52464"/>
    <w:rsid w:val="00B55453"/>
    <w:rsid w:val="00B55CF3"/>
    <w:rsid w:val="00B5787E"/>
    <w:rsid w:val="00B57CCE"/>
    <w:rsid w:val="00B6399F"/>
    <w:rsid w:val="00B63F38"/>
    <w:rsid w:val="00B64809"/>
    <w:rsid w:val="00B65685"/>
    <w:rsid w:val="00B66B7C"/>
    <w:rsid w:val="00B670CE"/>
    <w:rsid w:val="00B67749"/>
    <w:rsid w:val="00B67B79"/>
    <w:rsid w:val="00B67E74"/>
    <w:rsid w:val="00B70D36"/>
    <w:rsid w:val="00B71448"/>
    <w:rsid w:val="00B715B0"/>
    <w:rsid w:val="00B717FE"/>
    <w:rsid w:val="00B7196F"/>
    <w:rsid w:val="00B745CB"/>
    <w:rsid w:val="00B77CB0"/>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1250"/>
    <w:rsid w:val="00BA133C"/>
    <w:rsid w:val="00BA4762"/>
    <w:rsid w:val="00BA4A19"/>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593"/>
    <w:rsid w:val="00BC54BA"/>
    <w:rsid w:val="00BD05BF"/>
    <w:rsid w:val="00BD464A"/>
    <w:rsid w:val="00BD630D"/>
    <w:rsid w:val="00BD639A"/>
    <w:rsid w:val="00BD6401"/>
    <w:rsid w:val="00BD64BD"/>
    <w:rsid w:val="00BD6CFB"/>
    <w:rsid w:val="00BE0108"/>
    <w:rsid w:val="00BE1E03"/>
    <w:rsid w:val="00BE2902"/>
    <w:rsid w:val="00BE41EB"/>
    <w:rsid w:val="00BE42CB"/>
    <w:rsid w:val="00BE5AE8"/>
    <w:rsid w:val="00BE6162"/>
    <w:rsid w:val="00BE6C9C"/>
    <w:rsid w:val="00BE751E"/>
    <w:rsid w:val="00BF02C6"/>
    <w:rsid w:val="00BF2E96"/>
    <w:rsid w:val="00BF37B7"/>
    <w:rsid w:val="00BF3B86"/>
    <w:rsid w:val="00BF4BF1"/>
    <w:rsid w:val="00BF501C"/>
    <w:rsid w:val="00BF5C82"/>
    <w:rsid w:val="00BF68C8"/>
    <w:rsid w:val="00BF77C4"/>
    <w:rsid w:val="00BF7A5E"/>
    <w:rsid w:val="00C0085D"/>
    <w:rsid w:val="00C00E47"/>
    <w:rsid w:val="00C010AA"/>
    <w:rsid w:val="00C013EF"/>
    <w:rsid w:val="00C033F3"/>
    <w:rsid w:val="00C03508"/>
    <w:rsid w:val="00C0367E"/>
    <w:rsid w:val="00C03F05"/>
    <w:rsid w:val="00C04F9C"/>
    <w:rsid w:val="00C076E1"/>
    <w:rsid w:val="00C07BA6"/>
    <w:rsid w:val="00C11D21"/>
    <w:rsid w:val="00C11EFC"/>
    <w:rsid w:val="00C12CB5"/>
    <w:rsid w:val="00C1675F"/>
    <w:rsid w:val="00C16C29"/>
    <w:rsid w:val="00C21F2D"/>
    <w:rsid w:val="00C22DD1"/>
    <w:rsid w:val="00C23438"/>
    <w:rsid w:val="00C23439"/>
    <w:rsid w:val="00C24BB6"/>
    <w:rsid w:val="00C25F81"/>
    <w:rsid w:val="00C268BB"/>
    <w:rsid w:val="00C27213"/>
    <w:rsid w:val="00C278C2"/>
    <w:rsid w:val="00C32425"/>
    <w:rsid w:val="00C33DEA"/>
    <w:rsid w:val="00C34B78"/>
    <w:rsid w:val="00C34DBE"/>
    <w:rsid w:val="00C353D0"/>
    <w:rsid w:val="00C35AE1"/>
    <w:rsid w:val="00C36B5B"/>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1BF"/>
    <w:rsid w:val="00C63CB8"/>
    <w:rsid w:val="00C65327"/>
    <w:rsid w:val="00C65838"/>
    <w:rsid w:val="00C6673E"/>
    <w:rsid w:val="00C668EE"/>
    <w:rsid w:val="00C67382"/>
    <w:rsid w:val="00C70B91"/>
    <w:rsid w:val="00C72471"/>
    <w:rsid w:val="00C74C85"/>
    <w:rsid w:val="00C7587D"/>
    <w:rsid w:val="00C8086B"/>
    <w:rsid w:val="00C80E7F"/>
    <w:rsid w:val="00C82D97"/>
    <w:rsid w:val="00C84D14"/>
    <w:rsid w:val="00C90698"/>
    <w:rsid w:val="00C9369C"/>
    <w:rsid w:val="00C939AC"/>
    <w:rsid w:val="00C93BF9"/>
    <w:rsid w:val="00C93EDD"/>
    <w:rsid w:val="00C94074"/>
    <w:rsid w:val="00C95333"/>
    <w:rsid w:val="00C953EF"/>
    <w:rsid w:val="00C953F6"/>
    <w:rsid w:val="00C965BF"/>
    <w:rsid w:val="00C966D4"/>
    <w:rsid w:val="00C96FEF"/>
    <w:rsid w:val="00CA0363"/>
    <w:rsid w:val="00CA06A4"/>
    <w:rsid w:val="00CA1C28"/>
    <w:rsid w:val="00CA1C2C"/>
    <w:rsid w:val="00CA3970"/>
    <w:rsid w:val="00CA485B"/>
    <w:rsid w:val="00CA501F"/>
    <w:rsid w:val="00CA59FA"/>
    <w:rsid w:val="00CA5C28"/>
    <w:rsid w:val="00CA61CF"/>
    <w:rsid w:val="00CA6239"/>
    <w:rsid w:val="00CB0B17"/>
    <w:rsid w:val="00CB1749"/>
    <w:rsid w:val="00CB1870"/>
    <w:rsid w:val="00CB26D9"/>
    <w:rsid w:val="00CB27C2"/>
    <w:rsid w:val="00CB32DD"/>
    <w:rsid w:val="00CB3A9F"/>
    <w:rsid w:val="00CB5048"/>
    <w:rsid w:val="00CB5AC7"/>
    <w:rsid w:val="00CC10DA"/>
    <w:rsid w:val="00CC4F0B"/>
    <w:rsid w:val="00CD1094"/>
    <w:rsid w:val="00CD1B67"/>
    <w:rsid w:val="00CD229F"/>
    <w:rsid w:val="00CE15ED"/>
    <w:rsid w:val="00CE2D1F"/>
    <w:rsid w:val="00CE31CB"/>
    <w:rsid w:val="00CE31E0"/>
    <w:rsid w:val="00CE444E"/>
    <w:rsid w:val="00CE52F0"/>
    <w:rsid w:val="00CE6F1A"/>
    <w:rsid w:val="00CE79A2"/>
    <w:rsid w:val="00CF18A3"/>
    <w:rsid w:val="00CF356A"/>
    <w:rsid w:val="00CF3DA6"/>
    <w:rsid w:val="00CF4A61"/>
    <w:rsid w:val="00CF6809"/>
    <w:rsid w:val="00CF760D"/>
    <w:rsid w:val="00D01778"/>
    <w:rsid w:val="00D01A38"/>
    <w:rsid w:val="00D029CB"/>
    <w:rsid w:val="00D034E8"/>
    <w:rsid w:val="00D04274"/>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51A"/>
    <w:rsid w:val="00D22151"/>
    <w:rsid w:val="00D2223B"/>
    <w:rsid w:val="00D22AF0"/>
    <w:rsid w:val="00D23581"/>
    <w:rsid w:val="00D259AA"/>
    <w:rsid w:val="00D25CA2"/>
    <w:rsid w:val="00D26BCB"/>
    <w:rsid w:val="00D275C6"/>
    <w:rsid w:val="00D27639"/>
    <w:rsid w:val="00D27E59"/>
    <w:rsid w:val="00D30DA6"/>
    <w:rsid w:val="00D40E89"/>
    <w:rsid w:val="00D41A51"/>
    <w:rsid w:val="00D41FFA"/>
    <w:rsid w:val="00D42DFD"/>
    <w:rsid w:val="00D45BB6"/>
    <w:rsid w:val="00D45E14"/>
    <w:rsid w:val="00D4755C"/>
    <w:rsid w:val="00D475F6"/>
    <w:rsid w:val="00D47707"/>
    <w:rsid w:val="00D516CF"/>
    <w:rsid w:val="00D51F45"/>
    <w:rsid w:val="00D52834"/>
    <w:rsid w:val="00D544FE"/>
    <w:rsid w:val="00D5505A"/>
    <w:rsid w:val="00D5596F"/>
    <w:rsid w:val="00D56F3F"/>
    <w:rsid w:val="00D57733"/>
    <w:rsid w:val="00D577A0"/>
    <w:rsid w:val="00D601F1"/>
    <w:rsid w:val="00D617E0"/>
    <w:rsid w:val="00D61F13"/>
    <w:rsid w:val="00D64001"/>
    <w:rsid w:val="00D650A7"/>
    <w:rsid w:val="00D65513"/>
    <w:rsid w:val="00D672D6"/>
    <w:rsid w:val="00D67D4A"/>
    <w:rsid w:val="00D7096D"/>
    <w:rsid w:val="00D70B9D"/>
    <w:rsid w:val="00D718AB"/>
    <w:rsid w:val="00D729E1"/>
    <w:rsid w:val="00D72B46"/>
    <w:rsid w:val="00D72F7B"/>
    <w:rsid w:val="00D7351A"/>
    <w:rsid w:val="00D73625"/>
    <w:rsid w:val="00D75881"/>
    <w:rsid w:val="00D75D2E"/>
    <w:rsid w:val="00D766D5"/>
    <w:rsid w:val="00D77460"/>
    <w:rsid w:val="00D77DC1"/>
    <w:rsid w:val="00D806A3"/>
    <w:rsid w:val="00D81232"/>
    <w:rsid w:val="00D81BAC"/>
    <w:rsid w:val="00D83149"/>
    <w:rsid w:val="00D83173"/>
    <w:rsid w:val="00D8380A"/>
    <w:rsid w:val="00D85273"/>
    <w:rsid w:val="00D87D76"/>
    <w:rsid w:val="00D90CC5"/>
    <w:rsid w:val="00D92C6A"/>
    <w:rsid w:val="00D92E7F"/>
    <w:rsid w:val="00D963A6"/>
    <w:rsid w:val="00DA12AB"/>
    <w:rsid w:val="00DA1C49"/>
    <w:rsid w:val="00DA1F98"/>
    <w:rsid w:val="00DA3D92"/>
    <w:rsid w:val="00DA4A94"/>
    <w:rsid w:val="00DA6E0F"/>
    <w:rsid w:val="00DB1DFA"/>
    <w:rsid w:val="00DB3689"/>
    <w:rsid w:val="00DB3767"/>
    <w:rsid w:val="00DB39E0"/>
    <w:rsid w:val="00DB442C"/>
    <w:rsid w:val="00DB70B4"/>
    <w:rsid w:val="00DC0A7F"/>
    <w:rsid w:val="00DC181B"/>
    <w:rsid w:val="00DC1B28"/>
    <w:rsid w:val="00DC22BE"/>
    <w:rsid w:val="00DC34E6"/>
    <w:rsid w:val="00DC548F"/>
    <w:rsid w:val="00DC5F62"/>
    <w:rsid w:val="00DC6AD9"/>
    <w:rsid w:val="00DC6B68"/>
    <w:rsid w:val="00DC7FAF"/>
    <w:rsid w:val="00DD02BA"/>
    <w:rsid w:val="00DD100B"/>
    <w:rsid w:val="00DD36C3"/>
    <w:rsid w:val="00DD4015"/>
    <w:rsid w:val="00DD42F9"/>
    <w:rsid w:val="00DD4BA6"/>
    <w:rsid w:val="00DD6A69"/>
    <w:rsid w:val="00DE1B4A"/>
    <w:rsid w:val="00DE2611"/>
    <w:rsid w:val="00DE2CFF"/>
    <w:rsid w:val="00DE3330"/>
    <w:rsid w:val="00DE3741"/>
    <w:rsid w:val="00DE4C0C"/>
    <w:rsid w:val="00DE5939"/>
    <w:rsid w:val="00DE7746"/>
    <w:rsid w:val="00DE7AA4"/>
    <w:rsid w:val="00DF0E6C"/>
    <w:rsid w:val="00DF11E4"/>
    <w:rsid w:val="00DF1C50"/>
    <w:rsid w:val="00DF4490"/>
    <w:rsid w:val="00DF4CBC"/>
    <w:rsid w:val="00DF5370"/>
    <w:rsid w:val="00DF56CD"/>
    <w:rsid w:val="00DF7DFA"/>
    <w:rsid w:val="00E0032E"/>
    <w:rsid w:val="00E004AF"/>
    <w:rsid w:val="00E0205D"/>
    <w:rsid w:val="00E02BE9"/>
    <w:rsid w:val="00E03C46"/>
    <w:rsid w:val="00E051A0"/>
    <w:rsid w:val="00E06DE8"/>
    <w:rsid w:val="00E075C4"/>
    <w:rsid w:val="00E1018A"/>
    <w:rsid w:val="00E10707"/>
    <w:rsid w:val="00E11639"/>
    <w:rsid w:val="00E120F4"/>
    <w:rsid w:val="00E12C56"/>
    <w:rsid w:val="00E14000"/>
    <w:rsid w:val="00E14F52"/>
    <w:rsid w:val="00E153F6"/>
    <w:rsid w:val="00E15F7E"/>
    <w:rsid w:val="00E173DF"/>
    <w:rsid w:val="00E203C4"/>
    <w:rsid w:val="00E22546"/>
    <w:rsid w:val="00E22B2E"/>
    <w:rsid w:val="00E27579"/>
    <w:rsid w:val="00E27FC2"/>
    <w:rsid w:val="00E30AEB"/>
    <w:rsid w:val="00E30CE7"/>
    <w:rsid w:val="00E31912"/>
    <w:rsid w:val="00E31B60"/>
    <w:rsid w:val="00E34648"/>
    <w:rsid w:val="00E34D88"/>
    <w:rsid w:val="00E353DB"/>
    <w:rsid w:val="00E36375"/>
    <w:rsid w:val="00E36729"/>
    <w:rsid w:val="00E36999"/>
    <w:rsid w:val="00E36BD9"/>
    <w:rsid w:val="00E36EC8"/>
    <w:rsid w:val="00E40D48"/>
    <w:rsid w:val="00E40DBF"/>
    <w:rsid w:val="00E41CA7"/>
    <w:rsid w:val="00E4207F"/>
    <w:rsid w:val="00E42C98"/>
    <w:rsid w:val="00E43552"/>
    <w:rsid w:val="00E43798"/>
    <w:rsid w:val="00E43842"/>
    <w:rsid w:val="00E44E1D"/>
    <w:rsid w:val="00E468CA"/>
    <w:rsid w:val="00E51EE1"/>
    <w:rsid w:val="00E521EE"/>
    <w:rsid w:val="00E55E2E"/>
    <w:rsid w:val="00E60D7E"/>
    <w:rsid w:val="00E61F55"/>
    <w:rsid w:val="00E62790"/>
    <w:rsid w:val="00E62B3D"/>
    <w:rsid w:val="00E6315A"/>
    <w:rsid w:val="00E64C50"/>
    <w:rsid w:val="00E64E88"/>
    <w:rsid w:val="00E650EA"/>
    <w:rsid w:val="00E65A6B"/>
    <w:rsid w:val="00E65E86"/>
    <w:rsid w:val="00E6663D"/>
    <w:rsid w:val="00E673BF"/>
    <w:rsid w:val="00E7047A"/>
    <w:rsid w:val="00E71B00"/>
    <w:rsid w:val="00E733FF"/>
    <w:rsid w:val="00E73C7F"/>
    <w:rsid w:val="00E740D9"/>
    <w:rsid w:val="00E7442D"/>
    <w:rsid w:val="00E76862"/>
    <w:rsid w:val="00E8017C"/>
    <w:rsid w:val="00E803F2"/>
    <w:rsid w:val="00E8224F"/>
    <w:rsid w:val="00E83BFC"/>
    <w:rsid w:val="00E84692"/>
    <w:rsid w:val="00E853FB"/>
    <w:rsid w:val="00E85E3C"/>
    <w:rsid w:val="00E86082"/>
    <w:rsid w:val="00E87574"/>
    <w:rsid w:val="00E91D75"/>
    <w:rsid w:val="00E92541"/>
    <w:rsid w:val="00E943EE"/>
    <w:rsid w:val="00E94A9D"/>
    <w:rsid w:val="00E9552F"/>
    <w:rsid w:val="00E96534"/>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1556"/>
    <w:rsid w:val="00EB1663"/>
    <w:rsid w:val="00EB1947"/>
    <w:rsid w:val="00EB1CA5"/>
    <w:rsid w:val="00EB1DF8"/>
    <w:rsid w:val="00EB4324"/>
    <w:rsid w:val="00EB49D7"/>
    <w:rsid w:val="00EB5DAB"/>
    <w:rsid w:val="00EB6B41"/>
    <w:rsid w:val="00EB7014"/>
    <w:rsid w:val="00EB71A3"/>
    <w:rsid w:val="00EB7287"/>
    <w:rsid w:val="00EC0112"/>
    <w:rsid w:val="00EC0950"/>
    <w:rsid w:val="00EC1D1E"/>
    <w:rsid w:val="00EC1D63"/>
    <w:rsid w:val="00EC25C1"/>
    <w:rsid w:val="00EC3A1D"/>
    <w:rsid w:val="00EC3E43"/>
    <w:rsid w:val="00EC465B"/>
    <w:rsid w:val="00EC50BC"/>
    <w:rsid w:val="00EC5A04"/>
    <w:rsid w:val="00EC5B82"/>
    <w:rsid w:val="00EC6204"/>
    <w:rsid w:val="00EC65A6"/>
    <w:rsid w:val="00EC7D8F"/>
    <w:rsid w:val="00EC7E1A"/>
    <w:rsid w:val="00ED09F7"/>
    <w:rsid w:val="00ED0A4D"/>
    <w:rsid w:val="00ED0F55"/>
    <w:rsid w:val="00ED2207"/>
    <w:rsid w:val="00ED5032"/>
    <w:rsid w:val="00ED5270"/>
    <w:rsid w:val="00ED6649"/>
    <w:rsid w:val="00ED7856"/>
    <w:rsid w:val="00ED792B"/>
    <w:rsid w:val="00ED7DC2"/>
    <w:rsid w:val="00EE04F3"/>
    <w:rsid w:val="00EE51EA"/>
    <w:rsid w:val="00EE5769"/>
    <w:rsid w:val="00EE5CA6"/>
    <w:rsid w:val="00EE5F79"/>
    <w:rsid w:val="00EE6916"/>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532B"/>
    <w:rsid w:val="00F06E0E"/>
    <w:rsid w:val="00F07AA2"/>
    <w:rsid w:val="00F108F2"/>
    <w:rsid w:val="00F12626"/>
    <w:rsid w:val="00F12DA8"/>
    <w:rsid w:val="00F1322B"/>
    <w:rsid w:val="00F13699"/>
    <w:rsid w:val="00F14012"/>
    <w:rsid w:val="00F14731"/>
    <w:rsid w:val="00F15173"/>
    <w:rsid w:val="00F154E0"/>
    <w:rsid w:val="00F15B55"/>
    <w:rsid w:val="00F165BA"/>
    <w:rsid w:val="00F173C6"/>
    <w:rsid w:val="00F202C0"/>
    <w:rsid w:val="00F224D2"/>
    <w:rsid w:val="00F23C38"/>
    <w:rsid w:val="00F24055"/>
    <w:rsid w:val="00F25BEF"/>
    <w:rsid w:val="00F25F2A"/>
    <w:rsid w:val="00F270BA"/>
    <w:rsid w:val="00F308AF"/>
    <w:rsid w:val="00F308F7"/>
    <w:rsid w:val="00F31BFE"/>
    <w:rsid w:val="00F321D5"/>
    <w:rsid w:val="00F32911"/>
    <w:rsid w:val="00F333BE"/>
    <w:rsid w:val="00F337F8"/>
    <w:rsid w:val="00F3464D"/>
    <w:rsid w:val="00F34EAE"/>
    <w:rsid w:val="00F35A5F"/>
    <w:rsid w:val="00F36774"/>
    <w:rsid w:val="00F405D4"/>
    <w:rsid w:val="00F405F5"/>
    <w:rsid w:val="00F40AA9"/>
    <w:rsid w:val="00F40C50"/>
    <w:rsid w:val="00F4100B"/>
    <w:rsid w:val="00F41716"/>
    <w:rsid w:val="00F433E7"/>
    <w:rsid w:val="00F43D26"/>
    <w:rsid w:val="00F43F25"/>
    <w:rsid w:val="00F44DA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3F0E"/>
    <w:rsid w:val="00F64EA5"/>
    <w:rsid w:val="00F65E5D"/>
    <w:rsid w:val="00F66660"/>
    <w:rsid w:val="00F66A3D"/>
    <w:rsid w:val="00F66DF3"/>
    <w:rsid w:val="00F67AB2"/>
    <w:rsid w:val="00F67D94"/>
    <w:rsid w:val="00F701DB"/>
    <w:rsid w:val="00F70EC4"/>
    <w:rsid w:val="00F72E36"/>
    <w:rsid w:val="00F7334D"/>
    <w:rsid w:val="00F73D21"/>
    <w:rsid w:val="00F74052"/>
    <w:rsid w:val="00F74AF8"/>
    <w:rsid w:val="00F74ED0"/>
    <w:rsid w:val="00F75B44"/>
    <w:rsid w:val="00F8012B"/>
    <w:rsid w:val="00F81303"/>
    <w:rsid w:val="00F8144C"/>
    <w:rsid w:val="00F8286F"/>
    <w:rsid w:val="00F82899"/>
    <w:rsid w:val="00F83593"/>
    <w:rsid w:val="00F837F7"/>
    <w:rsid w:val="00F8499F"/>
    <w:rsid w:val="00F87036"/>
    <w:rsid w:val="00F90266"/>
    <w:rsid w:val="00F90E30"/>
    <w:rsid w:val="00F91209"/>
    <w:rsid w:val="00F917E4"/>
    <w:rsid w:val="00F91B00"/>
    <w:rsid w:val="00F93D74"/>
    <w:rsid w:val="00F9424D"/>
    <w:rsid w:val="00F94956"/>
    <w:rsid w:val="00F94DFC"/>
    <w:rsid w:val="00F95774"/>
    <w:rsid w:val="00F96574"/>
    <w:rsid w:val="00F96BAD"/>
    <w:rsid w:val="00F97A48"/>
    <w:rsid w:val="00FA08CA"/>
    <w:rsid w:val="00FA193F"/>
    <w:rsid w:val="00FA1943"/>
    <w:rsid w:val="00FA34B5"/>
    <w:rsid w:val="00FA3897"/>
    <w:rsid w:val="00FA4411"/>
    <w:rsid w:val="00FA75D3"/>
    <w:rsid w:val="00FA7F14"/>
    <w:rsid w:val="00FB0158"/>
    <w:rsid w:val="00FB16BC"/>
    <w:rsid w:val="00FB25A0"/>
    <w:rsid w:val="00FB2D7C"/>
    <w:rsid w:val="00FB3195"/>
    <w:rsid w:val="00FB4F37"/>
    <w:rsid w:val="00FB79F1"/>
    <w:rsid w:val="00FB7E5A"/>
    <w:rsid w:val="00FC25AB"/>
    <w:rsid w:val="00FC3544"/>
    <w:rsid w:val="00FC3766"/>
    <w:rsid w:val="00FC6E54"/>
    <w:rsid w:val="00FD07C3"/>
    <w:rsid w:val="00FD224B"/>
    <w:rsid w:val="00FD33A2"/>
    <w:rsid w:val="00FD4B7B"/>
    <w:rsid w:val="00FD6206"/>
    <w:rsid w:val="00FD62DD"/>
    <w:rsid w:val="00FD7126"/>
    <w:rsid w:val="00FE09E7"/>
    <w:rsid w:val="00FE2161"/>
    <w:rsid w:val="00FE4C69"/>
    <w:rsid w:val="00FE54F3"/>
    <w:rsid w:val="00FE58B6"/>
    <w:rsid w:val="00FE6129"/>
    <w:rsid w:val="00FE7430"/>
    <w:rsid w:val="00FF0471"/>
    <w:rsid w:val="00FF0AAD"/>
    <w:rsid w:val="00FF27FC"/>
    <w:rsid w:val="00FF29CE"/>
    <w:rsid w:val="00FF2E7C"/>
    <w:rsid w:val="00FF33F4"/>
    <w:rsid w:val="00FF5BE9"/>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17C"/>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51C1C1-679A-4951-9881-519005CB8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9041</TotalTime>
  <Pages>8</Pages>
  <Words>2779</Words>
  <Characters>15842</Characters>
  <Application>Microsoft Office Word</Application>
  <DocSecurity>0</DocSecurity>
  <Lines>132</Lines>
  <Paragraphs>37</Paragraphs>
  <ScaleCrop>false</ScaleCrop>
  <Company>ZTE</Company>
  <LinksUpToDate>false</LinksUpToDate>
  <CharactersWithSpaces>18584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ZTE-LiuJing</cp:lastModifiedBy>
  <cp:revision>352</cp:revision>
  <cp:lastPrinted>2113-01-01T00:00:00Z</cp:lastPrinted>
  <dcterms:created xsi:type="dcterms:W3CDTF">2017-09-06T12:59:00Z</dcterms:created>
  <dcterms:modified xsi:type="dcterms:W3CDTF">2022-02-14T17:06:00Z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